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rFonts w:ascii="Arial" w:cs="Arial" w:eastAsia="Arial" w:hAnsi="Arial"/>
          <w:b/>
          <w:bCs/>
          <w:color w:val="0B1B2B"/>
          <w:sz w:val="30"/>
          <w:szCs w:val="30"/>
        </w:rPr>
        <w:t xml:space="preserve">Acetone</w:t>
      </w:r>
    </w:p>
    <w:p>
      <w:pPr>
        <w:pBdr>
          <w:top w:val="single" w:color="D7DCE2" w:sz="6"/>
          <w:bottom w:val="single" w:color="D7DCE2" w:sz="6"/>
          <w:left w:val="single" w:color="D7DCE2" w:sz="6"/>
          <w:right w:val="single" w:color="D7DCE2" w:sz="6"/>
        </w:pBdr>
        <w:shd w:fill="F6F7F9" w:color="auto" w:val="clear"/>
        <w:spacing w:after="180" w:before="40" w:line="280"/>
      </w:pPr>
      <w:r>
        <w:rPr>
          <w:rFonts w:ascii="Arial" w:cs="Arial" w:eastAsia="Arial" w:hAnsi="Arial"/>
          <w:b/>
          <w:bCs/>
          <w:color w:val="33414F"/>
          <w:sz w:val="18"/>
          <w:szCs w:val="18"/>
        </w:rPr>
        <w:t xml:space="preserve">Requested identifier: 67-64-1 | CAS number: 67-64-1 | Molecular formula: C3H6O | Molecular weight: 58.08 | Prepared for: Your Company Name | Intake ID: public-sample-document | Generated: 2026-10-14 | Editable document URL: https://custom-sds.com/sample</w:t>
      </w:r>
    </w:p>
    <w:p>
      <w:pPr>
        <w:pBdr>
          <w:top w:val="single" w:color="8A5A00" w:sz="8"/>
          <w:bottom w:val="single" w:color="8A5A00" w:sz="8"/>
          <w:left w:val="single" w:color="8A5A00" w:sz="8"/>
          <w:right w:val="single" w:color="8A5A00" w:sz="8"/>
        </w:pBdr>
        <w:shd w:fill="F6F7F9" w:color="auto" w:val="clear"/>
        <w:spacing w:after="220" w:before="20" w:line="300"/>
      </w:pPr>
      <w:r>
        <w:rPr>
          <w:rFonts w:ascii="Arial" w:cs="Arial" w:eastAsia="Arial" w:hAnsi="Arial"/>
          <w:b/>
          <w:bCs/>
          <w:color w:val="8A5A00"/>
          <w:sz w:val="20"/>
          <w:szCs w:val="20"/>
        </w:rPr>
        <w:t xml:space="preserve">Editable draft notice: Review this Word document with your EHS or regulatory team before customer-facing use. You may customize formatting, branding, and remove the draft note after review.</w:t>
      </w:r>
    </w:p>
    <w:p>
      <w:pPr>
        <w:pStyle w:val="Heading2"/>
        <w:keepNext/>
        <w:keepLines/>
        <w:shd w:fill="E4E7EB" w:color="auto" w:val="clear"/>
        <w:spacing w:after="120" w:before="0"/>
      </w:pPr>
      <w:r>
        <w:rPr>
          <w:rFonts w:ascii="Arial" w:cs="Arial" w:eastAsia="Arial" w:hAnsi="Arial"/>
          <w:b/>
          <w:bCs/>
          <w:color w:val="1B3A5C"/>
          <w:sz w:val="22"/>
          <w:szCs w:val="22"/>
        </w:rPr>
        <w:t xml:space="preserve">SECTION 1: Identification</w:t>
      </w:r>
    </w:p>
    <w:p>
      <w:pPr>
        <w:pStyle w:val="ListParagraph"/>
        <w:numPr>
          <w:ilvl w:val="0"/>
          <w:numId w:val="1"/>
        </w:numPr>
        <w:spacing w:after="60" w:line="300"/>
      </w:pPr>
      <w:r>
        <w:rPr>
          <w:rFonts w:ascii="Arial" w:cs="Arial" w:eastAsia="Arial" w:hAnsi="Arial"/>
          <w:b/>
          <w:bCs/>
          <w:color w:val="0B1B2B"/>
          <w:sz w:val="20"/>
          <w:szCs w:val="20"/>
        </w:rPr>
        <w:t xml:space="preserve">Prepared for: </w:t>
      </w:r>
      <w:r>
        <w:rPr>
          <w:rFonts w:ascii="Arial" w:cs="Arial" w:eastAsia="Arial" w:hAnsi="Arial"/>
          <w:color w:val="0B1B2B"/>
          <w:sz w:val="20"/>
          <w:szCs w:val="20"/>
        </w:rPr>
        <w:t xml:space="preserve">Your Company Name</w:t>
      </w:r>
    </w:p>
    <w:p>
      <w:pPr>
        <w:keepNext/>
        <w:spacing w:after="60" w:before="120" w:line="300"/>
      </w:pPr>
      <w:r>
        <w:rPr>
          <w:rFonts w:ascii="Arial" w:cs="Arial" w:eastAsia="Arial" w:hAnsi="Arial"/>
          <w:b/>
          <w:bCs/>
          <w:color w:val="0B1B2B"/>
          <w:sz w:val="20"/>
          <w:szCs w:val="20"/>
        </w:rPr>
        <w:t xml:space="preserve">1.1 Product identifier</w:t>
      </w:r>
    </w:p>
    <w:p>
      <w:pPr>
        <w:pStyle w:val="ListParagraph"/>
        <w:numPr>
          <w:ilvl w:val="0"/>
          <w:numId w:val="1"/>
        </w:numPr>
        <w:spacing w:after="60" w:line="300"/>
      </w:pPr>
      <w:r>
        <w:rPr>
          <w:rFonts w:ascii="Arial" w:cs="Arial" w:eastAsia="Arial" w:hAnsi="Arial"/>
          <w:b/>
          <w:bCs/>
          <w:color w:val="0B1B2B"/>
          <w:sz w:val="20"/>
          <w:szCs w:val="20"/>
        </w:rPr>
        <w:t xml:space="preserve">Product identifier: </w:t>
      </w:r>
      <w:r>
        <w:rPr>
          <w:rFonts w:ascii="Arial" w:cs="Arial" w:eastAsia="Arial" w:hAnsi="Arial"/>
          <w:color w:val="0B1B2B"/>
          <w:sz w:val="20"/>
          <w:szCs w:val="20"/>
        </w:rPr>
        <w:t xml:space="preserve">Acetone</w:t>
      </w:r>
    </w:p>
    <w:p>
      <w:pPr>
        <w:pStyle w:val="ListParagraph"/>
        <w:numPr>
          <w:ilvl w:val="0"/>
          <w:numId w:val="1"/>
        </w:numPr>
        <w:spacing w:after="60" w:line="300"/>
      </w:pPr>
      <w:r>
        <w:rPr>
          <w:rFonts w:ascii="Arial" w:cs="Arial" w:eastAsia="Arial" w:hAnsi="Arial"/>
          <w:b/>
          <w:bCs/>
          <w:color w:val="0B1B2B"/>
          <w:sz w:val="20"/>
          <w:szCs w:val="20"/>
        </w:rPr>
        <w:t xml:space="preserve">Chemical name (IUPAC): </w:t>
      </w:r>
      <w:r>
        <w:rPr>
          <w:rFonts w:ascii="Arial" w:cs="Arial" w:eastAsia="Arial" w:hAnsi="Arial"/>
          <w:color w:val="0B1B2B"/>
          <w:sz w:val="20"/>
          <w:szCs w:val="20"/>
        </w:rPr>
        <w:t xml:space="preserve">propan-2-one</w:t>
      </w:r>
    </w:p>
    <w:p>
      <w:pPr>
        <w:pStyle w:val="ListParagraph"/>
        <w:numPr>
          <w:ilvl w:val="0"/>
          <w:numId w:val="1"/>
        </w:numPr>
        <w:spacing w:after="60" w:line="300"/>
      </w:pPr>
      <w:r>
        <w:rPr>
          <w:rFonts w:ascii="Arial" w:cs="Arial" w:eastAsia="Arial" w:hAnsi="Arial"/>
          <w:b/>
          <w:bCs/>
          <w:color w:val="0B1B2B"/>
          <w:sz w:val="20"/>
          <w:szCs w:val="20"/>
        </w:rPr>
        <w:t xml:space="preserve">CAS number: </w:t>
      </w:r>
      <w:r>
        <w:rPr>
          <w:rFonts w:ascii="Arial" w:cs="Arial" w:eastAsia="Arial" w:hAnsi="Arial"/>
          <w:color w:val="0B1B2B"/>
          <w:sz w:val="20"/>
          <w:szCs w:val="20"/>
        </w:rPr>
        <w:t xml:space="preserve">67-64-1</w:t>
      </w:r>
    </w:p>
    <w:p>
      <w:pPr>
        <w:pStyle w:val="ListParagraph"/>
        <w:numPr>
          <w:ilvl w:val="0"/>
          <w:numId w:val="1"/>
        </w:numPr>
        <w:spacing w:after="60" w:line="300"/>
      </w:pPr>
      <w:r>
        <w:rPr>
          <w:rFonts w:ascii="Arial" w:cs="Arial" w:eastAsia="Arial" w:hAnsi="Arial"/>
          <w:b/>
          <w:bCs/>
          <w:color w:val="0B1B2B"/>
          <w:sz w:val="20"/>
          <w:szCs w:val="20"/>
        </w:rPr>
        <w:t xml:space="preserve">PubChem CID reference: </w:t>
      </w:r>
      <w:r>
        <w:rPr>
          <w:rFonts w:ascii="Arial" w:cs="Arial" w:eastAsia="Arial" w:hAnsi="Arial"/>
          <w:color w:val="0B1B2B"/>
          <w:sz w:val="20"/>
          <w:szCs w:val="20"/>
        </w:rPr>
        <w:t xml:space="preserve">180</w:t>
      </w:r>
    </w:p>
    <w:p>
      <w:pPr>
        <w:pStyle w:val="ListParagraph"/>
        <w:numPr>
          <w:ilvl w:val="0"/>
          <w:numId w:val="1"/>
        </w:numPr>
        <w:spacing w:after="60" w:line="300"/>
      </w:pPr>
      <w:r>
        <w:rPr>
          <w:rFonts w:ascii="Arial" w:cs="Arial" w:eastAsia="Arial" w:hAnsi="Arial"/>
          <w:b/>
          <w:bCs/>
          <w:color w:val="0B1B2B"/>
          <w:sz w:val="20"/>
          <w:szCs w:val="20"/>
        </w:rPr>
        <w:t xml:space="preserve">Synonyms: </w:t>
      </w:r>
      <w:r>
        <w:rPr>
          <w:rFonts w:ascii="Arial" w:cs="Arial" w:eastAsia="Arial" w:hAnsi="Arial"/>
          <w:color w:val="0B1B2B"/>
          <w:sz w:val="20"/>
          <w:szCs w:val="20"/>
        </w:rPr>
        <w:t xml:space="preserve">acetone; 2-propanone; propanone; propan-2-one; Dimethyl ketone; Pyroacetic ether; Methyl ketone; Dimethylformaldehyde; beta-Ketopropane; Dimethylketal</w:t>
      </w:r>
    </w:p>
    <w:p>
      <w:pPr>
        <w:keepNext/>
        <w:spacing w:after="60" w:before="120" w:line="300"/>
      </w:pPr>
      <w:r>
        <w:rPr>
          <w:rFonts w:ascii="Arial" w:cs="Arial" w:eastAsia="Arial" w:hAnsi="Arial"/>
          <w:b/>
          <w:bCs/>
          <w:color w:val="0B1B2B"/>
          <w:sz w:val="20"/>
          <w:szCs w:val="20"/>
        </w:rPr>
        <w:t xml:space="preserve">1.2 Relevant identified uses of the substance or mixture and uses advised against</w:t>
      </w:r>
    </w:p>
    <w:p>
      <w:pPr>
        <w:pStyle w:val="ListParagraph"/>
        <w:numPr>
          <w:ilvl w:val="0"/>
          <w:numId w:val="1"/>
        </w:numPr>
        <w:spacing w:after="60" w:line="300"/>
      </w:pPr>
      <w:r>
        <w:rPr>
          <w:rFonts w:ascii="Arial" w:cs="Arial" w:eastAsia="Arial" w:hAnsi="Arial"/>
          <w:b/>
          <w:bCs/>
          <w:color w:val="0B1B2B"/>
          <w:sz w:val="20"/>
          <w:szCs w:val="20"/>
        </w:rPr>
        <w:t xml:space="preserve">Relevant identified uses: </w:t>
      </w:r>
      <w:r>
        <w:rPr>
          <w:rFonts w:ascii="Arial" w:cs="Arial" w:eastAsia="Arial" w:hAnsi="Arial"/>
          <w:color w:val="0B1B2B"/>
          <w:sz w:val="20"/>
          <w:szCs w:val="20"/>
        </w:rPr>
        <w:t xml:space="preserve">Laboratory reagent, industrial processing aid, formulation component, and internal product-stewardship review subject to supplier confirmation.</w:t>
      </w:r>
    </w:p>
    <w:p>
      <w:pPr>
        <w:pStyle w:val="ListParagraph"/>
        <w:numPr>
          <w:ilvl w:val="0"/>
          <w:numId w:val="1"/>
        </w:numPr>
        <w:spacing w:after="60" w:line="300"/>
      </w:pPr>
      <w:r>
        <w:rPr>
          <w:rFonts w:ascii="Arial" w:cs="Arial" w:eastAsia="Arial" w:hAnsi="Arial"/>
          <w:b/>
          <w:bCs/>
          <w:color w:val="0B1B2B"/>
          <w:sz w:val="20"/>
          <w:szCs w:val="20"/>
        </w:rPr>
        <w:t xml:space="preserve">Uses advised against: </w:t>
      </w:r>
      <w:r>
        <w:rPr>
          <w:rFonts w:ascii="Arial" w:cs="Arial" w:eastAsia="Arial" w:hAnsi="Arial"/>
          <w:color w:val="0B1B2B"/>
          <w:sz w:val="20"/>
          <w:szCs w:val="20"/>
        </w:rPr>
        <w:t xml:space="preserve">Consumer, medical, food, or any other use not covered by the supplier's label, technical instructions, or exposure scenario.</w:t>
      </w:r>
    </w:p>
    <w:p>
      <w:pPr>
        <w:keepNext/>
        <w:spacing w:after="60" w:before="120" w:line="300"/>
      </w:pPr>
      <w:r>
        <w:rPr>
          <w:rFonts w:ascii="Arial" w:cs="Arial" w:eastAsia="Arial" w:hAnsi="Arial"/>
          <w:b/>
          <w:bCs/>
          <w:color w:val="0B1B2B"/>
          <w:sz w:val="20"/>
          <w:szCs w:val="20"/>
        </w:rPr>
        <w:t xml:space="preserve">1.3 Details of the supplier of the safety data sheet</w:t>
      </w:r>
    </w:p>
    <w:p>
      <w:pPr>
        <w:spacing w:after="100" w:line="300"/>
      </w:pPr>
      <w:r>
        <w:rPr>
          <w:rFonts w:ascii="Arial" w:cs="Arial" w:eastAsia="Arial" w:hAnsi="Arial"/>
          <w:color w:val="0B1B2B"/>
          <w:sz w:val="20"/>
          <w:szCs w:val="20"/>
        </w:rPr>
        <w:t xml:space="preserve">Supplier details to complete before external issue: name, address, telephone, website.</w:t>
      </w:r>
    </w:p>
    <w:p>
      <w:pPr>
        <w:keepNext/>
        <w:spacing w:after="60" w:before="120" w:line="300"/>
      </w:pPr>
      <w:r>
        <w:rPr>
          <w:rFonts w:ascii="Arial" w:cs="Arial" w:eastAsia="Arial" w:hAnsi="Arial"/>
          <w:b/>
          <w:bCs/>
          <w:color w:val="0B1B2B"/>
          <w:sz w:val="20"/>
          <w:szCs w:val="20"/>
        </w:rPr>
        <w:t xml:space="preserve">1.4 Emergency telephone number</w:t>
      </w:r>
    </w:p>
    <w:p>
      <w:pPr>
        <w:pStyle w:val="ListParagraph"/>
        <w:numPr>
          <w:ilvl w:val="0"/>
          <w:numId w:val="1"/>
        </w:numPr>
        <w:spacing w:after="60" w:line="300"/>
      </w:pPr>
      <w:r>
        <w:rPr>
          <w:rFonts w:ascii="Arial" w:cs="Arial" w:eastAsia="Arial" w:hAnsi="Arial"/>
          <w:b/>
          <w:bCs/>
          <w:color w:val="0B1B2B"/>
          <w:sz w:val="20"/>
          <w:szCs w:val="20"/>
        </w:rPr>
        <w:t xml:space="preserve">Emergency telephone number: </w:t>
      </w:r>
      <w:r>
        <w:rPr>
          <w:rFonts w:ascii="Arial" w:cs="Arial" w:eastAsia="Arial" w:hAnsi="Arial"/>
          <w:color w:val="0B1B2B"/>
          <w:sz w:val="20"/>
          <w:szCs w:val="20"/>
        </w:rPr>
        <w:t xml:space="preserve">1-800-424-9300 (CHEMTREC)</w:t>
      </w:r>
    </w:p>
    <w:p>
      <w:pPr>
        <w:pStyle w:val="ListParagraph"/>
        <w:numPr>
          <w:ilvl w:val="0"/>
          <w:numId w:val="1"/>
        </w:numPr>
        <w:spacing w:after="60" w:line="300"/>
      </w:pPr>
      <w:r>
        <w:rPr>
          <w:rFonts w:ascii="Arial" w:cs="Arial" w:eastAsia="Arial" w:hAnsi="Arial"/>
          <w:b/>
          <w:bCs/>
          <w:color w:val="0B1B2B"/>
          <w:sz w:val="20"/>
          <w:szCs w:val="20"/>
        </w:rPr>
        <w:t xml:space="preserve">SDS revision date: </w:t>
      </w:r>
      <w:r>
        <w:rPr>
          <w:rFonts w:ascii="Arial" w:cs="Arial" w:eastAsia="Arial" w:hAnsi="Arial"/>
          <w:color w:val="0B1B2B"/>
          <w:sz w:val="20"/>
          <w:szCs w:val="20"/>
        </w:rPr>
        <w:t xml:space="preserve">2026-10-14</w:t>
      </w:r>
    </w:p>
    <w:p>
      <w:pPr>
        <w:pStyle w:val="ListParagraph"/>
        <w:numPr>
          <w:ilvl w:val="0"/>
          <w:numId w:val="1"/>
        </w:numPr>
        <w:spacing w:after="60" w:line="300"/>
      </w:pPr>
      <w:r>
        <w:rPr>
          <w:rFonts w:ascii="Arial" w:cs="Arial" w:eastAsia="Arial" w:hAnsi="Arial"/>
          <w:b/>
          <w:bCs/>
          <w:color w:val="0B1B2B"/>
          <w:sz w:val="20"/>
          <w:szCs w:val="20"/>
        </w:rPr>
        <w:t xml:space="preserve">SDS version: </w:t>
      </w:r>
      <w:r>
        <w:rPr>
          <w:rFonts w:ascii="Arial" w:cs="Arial" w:eastAsia="Arial" w:hAnsi="Arial"/>
          <w:color w:val="0B1B2B"/>
          <w:sz w:val="20"/>
          <w:szCs w:val="20"/>
        </w:rPr>
        <w:t xml:space="preserve">1.0 draft</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2: Hazards Identification</w:t>
      </w:r>
    </w:p>
    <w:p>
      <w:pPr>
        <w:keepNext/>
        <w:spacing w:after="60"/>
      </w:pPr>
      <w:r>
        <w:rPr>
          <w:rFonts w:ascii="Arial" w:cs="Arial" w:eastAsia="Arial" w:hAnsi="Arial"/>
          <w:b/>
          <w:bCs/>
          <w:color w:val="33414F"/>
          <w:sz w:val="19"/>
          <w:szCs w:val="19"/>
        </w:rPr>
        <w:t xml:space="preserve">Embedded GHS pictograms</w:t>
      </w:r>
    </w:p>
    <w:p>
      <w:pPr>
        <w:spacing w:after="40"/>
      </w:pPr>
      <w:r>
        <w:drawing>
          <wp:inline distT="0" distB="0" distL="0" distR="0">
            <wp:extent cx="762000" cy="762000"/>
            <wp:effectExtent t="0" r="0" b="0" l="0"/>
            <wp:docPr id="1" name="GHS02 Flammable" descr="GHS02 Flammable" title="GHS02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762000" cy="762000"/>
                    </a:xfrm>
                    <a:prstGeom prst="rect">
                      <a:avLst/>
                    </a:prstGeom>
                  </pic:spPr>
                </pic:pic>
              </a:graphicData>
            </a:graphic>
          </wp:inline>
        </w:drawing>
      </w:r>
      <w:r>
        <w:rPr>
          <w:rFonts w:ascii="Arial" w:cs="Arial" w:eastAsia="Arial" w:hAnsi="Arial"/>
          <w:b/>
          <w:bCs/>
          <w:color w:val="33414F"/>
          <w:sz w:val="18"/>
          <w:szCs w:val="18"/>
        </w:rPr>
        <w:t xml:space="preserve"> GHS02   </w:t>
      </w:r>
      <w:r>
        <w:drawing>
          <wp:inline distT="0" distB="0" distL="0" distR="0">
            <wp:extent cx="762000" cy="762000"/>
            <wp:effectExtent t="0" r="0" b="0" l="0"/>
            <wp:docPr id="1" name="GHS07 Exclamation" descr="GHS07 Exclamation" title="GHS07 Excla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r>
        <w:rPr>
          <w:rFonts w:ascii="Arial" w:cs="Arial" w:eastAsia="Arial" w:hAnsi="Arial"/>
          <w:b/>
          <w:bCs/>
          <w:color w:val="33414F"/>
          <w:sz w:val="18"/>
          <w:szCs w:val="18"/>
        </w:rPr>
        <w:t xml:space="preserve"> GHS07</w:t>
      </w:r>
    </w:p>
    <w:p>
      <w:pPr>
        <w:spacing w:after="140"/>
      </w:pPr>
      <w:r>
        <w:rPr>
          <w:rFonts w:ascii="Arial" w:cs="Arial" w:eastAsia="Arial" w:hAnsi="Arial"/>
          <w:i/>
          <w:iCs/>
          <w:color w:val="33414F"/>
          <w:sz w:val="16"/>
          <w:szCs w:val="16"/>
        </w:rPr>
        <w:t xml:space="preserve">GHS02 (Flammable) | GHS07 (Exclamation)</w:t>
      </w:r>
    </w:p>
    <w:p>
      <w:pPr>
        <w:keepNext/>
        <w:spacing w:after="60" w:before="120" w:line="300"/>
      </w:pPr>
      <w:r>
        <w:rPr>
          <w:rFonts w:ascii="Arial" w:cs="Arial" w:eastAsia="Arial" w:hAnsi="Arial"/>
          <w:b/>
          <w:bCs/>
          <w:color w:val="0B1B2B"/>
          <w:sz w:val="20"/>
          <w:szCs w:val="20"/>
        </w:rPr>
        <w:t xml:space="preserve">2.1 Classification of the substance or mixture</w:t>
      </w:r>
    </w:p>
    <w:p>
      <w:pPr>
        <w:pStyle w:val="ListParagraph"/>
        <w:numPr>
          <w:ilvl w:val="0"/>
          <w:numId w:val="1"/>
        </w:numPr>
        <w:spacing w:after="60" w:line="300"/>
      </w:pPr>
      <w:r>
        <w:rPr>
          <w:rFonts w:ascii="Arial" w:cs="Arial" w:eastAsia="Arial" w:hAnsi="Arial"/>
          <w:b/>
          <w:bCs/>
          <w:color w:val="0B1B2B"/>
          <w:sz w:val="20"/>
          <w:szCs w:val="20"/>
        </w:rPr>
        <w:t xml:space="preserve">Classification basis: </w:t>
      </w:r>
      <w:r>
        <w:rPr>
          <w:rFonts w:ascii="Arial" w:cs="Arial" w:eastAsia="Arial" w:hAnsi="Arial"/>
          <w:color w:val="0B1B2B"/>
          <w:sz w:val="20"/>
          <w:szCs w:val="20"/>
        </w:rPr>
        <w:t xml:space="preserve">OSHA 29 CFR 1910.1200 Appendix A, aligned to the GHS Rev. 7 hazard classes.</w:t>
      </w:r>
    </w:p>
    <w:p>
      <w:pPr>
        <w:pStyle w:val="ListParagraph"/>
        <w:numPr>
          <w:ilvl w:val="0"/>
          <w:numId w:val="1"/>
        </w:numPr>
        <w:spacing w:after="60" w:line="300"/>
      </w:pPr>
      <w:r>
        <w:rPr>
          <w:rFonts w:ascii="Arial" w:cs="Arial" w:eastAsia="Arial" w:hAnsi="Arial"/>
          <w:b/>
          <w:bCs/>
          <w:color w:val="0B1B2B"/>
          <w:sz w:val="20"/>
          <w:szCs w:val="20"/>
        </w:rPr>
        <w:t xml:space="preserve">Classification row: </w:t>
      </w:r>
      <w:r>
        <w:rPr>
          <w:rFonts w:ascii="Arial" w:cs="Arial" w:eastAsia="Arial" w:hAnsi="Arial"/>
          <w:color w:val="0B1B2B"/>
          <w:sz w:val="20"/>
          <w:szCs w:val="20"/>
        </w:rPr>
        <w:t xml:space="preserve">Flammable Liquid, Category 2 (Flam. Liq. 2) [H225]</w:t>
      </w:r>
    </w:p>
    <w:p>
      <w:pPr>
        <w:pStyle w:val="ListParagraph"/>
        <w:numPr>
          <w:ilvl w:val="0"/>
          <w:numId w:val="1"/>
        </w:numPr>
        <w:spacing w:after="60" w:line="300"/>
      </w:pPr>
      <w:r>
        <w:rPr>
          <w:rFonts w:ascii="Arial" w:cs="Arial" w:eastAsia="Arial" w:hAnsi="Arial"/>
          <w:b/>
          <w:bCs/>
          <w:color w:val="0B1B2B"/>
          <w:sz w:val="20"/>
          <w:szCs w:val="20"/>
        </w:rPr>
        <w:t xml:space="preserve">Classification row: </w:t>
      </w:r>
      <w:r>
        <w:rPr>
          <w:rFonts w:ascii="Arial" w:cs="Arial" w:eastAsia="Arial" w:hAnsi="Arial"/>
          <w:color w:val="0B1B2B"/>
          <w:sz w:val="20"/>
          <w:szCs w:val="20"/>
        </w:rPr>
        <w:t xml:space="preserve">Eye Irritation, Category 2 (Eye Irrit. 2) [H319]</w:t>
      </w:r>
    </w:p>
    <w:p>
      <w:pPr>
        <w:pStyle w:val="ListParagraph"/>
        <w:numPr>
          <w:ilvl w:val="0"/>
          <w:numId w:val="1"/>
        </w:numPr>
        <w:spacing w:after="60" w:line="300"/>
      </w:pPr>
      <w:r>
        <w:rPr>
          <w:rFonts w:ascii="Arial" w:cs="Arial" w:eastAsia="Arial" w:hAnsi="Arial"/>
          <w:b/>
          <w:bCs/>
          <w:color w:val="0B1B2B"/>
          <w:sz w:val="20"/>
          <w:szCs w:val="20"/>
        </w:rPr>
        <w:t xml:space="preserve">Classification row: </w:t>
      </w:r>
      <w:r>
        <w:rPr>
          <w:rFonts w:ascii="Arial" w:cs="Arial" w:eastAsia="Arial" w:hAnsi="Arial"/>
          <w:color w:val="0B1B2B"/>
          <w:sz w:val="20"/>
          <w:szCs w:val="20"/>
        </w:rPr>
        <w:t xml:space="preserve">Specific Target Organ Toxicity, Single Exposure, Category 3 (STOT SE 3) [H336]</w:t>
      </w:r>
    </w:p>
    <w:p>
      <w:pPr>
        <w:keepNext/>
        <w:spacing w:after="60" w:before="120" w:line="300"/>
      </w:pPr>
      <w:r>
        <w:rPr>
          <w:rFonts w:ascii="Arial" w:cs="Arial" w:eastAsia="Arial" w:hAnsi="Arial"/>
          <w:b/>
          <w:bCs/>
          <w:color w:val="0B1B2B"/>
          <w:sz w:val="20"/>
          <w:szCs w:val="20"/>
        </w:rPr>
        <w:t xml:space="preserve">2.2 Label elements</w:t>
      </w:r>
    </w:p>
    <w:p>
      <w:pPr>
        <w:pStyle w:val="ListParagraph"/>
        <w:numPr>
          <w:ilvl w:val="0"/>
          <w:numId w:val="1"/>
        </w:numPr>
        <w:spacing w:after="60" w:line="300"/>
      </w:pPr>
      <w:r>
        <w:rPr>
          <w:rFonts w:ascii="Arial" w:cs="Arial" w:eastAsia="Arial" w:hAnsi="Arial"/>
          <w:b/>
          <w:bCs/>
          <w:color w:val="0B1B2B"/>
          <w:sz w:val="20"/>
          <w:szCs w:val="20"/>
        </w:rPr>
        <w:t xml:space="preserve">Signal word: </w:t>
      </w:r>
      <w:r>
        <w:rPr>
          <w:rFonts w:ascii="Arial" w:cs="Arial" w:eastAsia="Arial" w:hAnsi="Arial"/>
          <w:color w:val="0B1B2B"/>
          <w:sz w:val="20"/>
          <w:szCs w:val="20"/>
        </w:rPr>
        <w:t xml:space="preserve">Danger</w:t>
      </w:r>
    </w:p>
    <w:p>
      <w:pPr>
        <w:pStyle w:val="ListParagraph"/>
        <w:numPr>
          <w:ilvl w:val="0"/>
          <w:numId w:val="1"/>
        </w:numPr>
        <w:spacing w:after="60" w:line="300"/>
      </w:pPr>
      <w:r>
        <w:rPr>
          <w:rFonts w:ascii="Arial" w:cs="Arial" w:eastAsia="Arial" w:hAnsi="Arial"/>
          <w:b/>
          <w:bCs/>
          <w:color w:val="0B1B2B"/>
          <w:sz w:val="20"/>
          <w:szCs w:val="20"/>
        </w:rPr>
        <w:t xml:space="preserve">GHS pictograms: </w:t>
      </w:r>
      <w:r>
        <w:rPr>
          <w:rFonts w:ascii="Arial" w:cs="Arial" w:eastAsia="Arial" w:hAnsi="Arial"/>
          <w:color w:val="0B1B2B"/>
          <w:sz w:val="20"/>
          <w:szCs w:val="20"/>
        </w:rPr>
        <w:t xml:space="preserve">GHS02 (Flammable), GHS07 (Exclamation)</w:t>
      </w:r>
    </w:p>
    <w:p>
      <w:pPr>
        <w:pStyle w:val="ListParagraph"/>
        <w:numPr>
          <w:ilvl w:val="0"/>
          <w:numId w:val="1"/>
        </w:numPr>
        <w:spacing w:after="60" w:line="300"/>
      </w:pPr>
      <w:r>
        <w:rPr>
          <w:rFonts w:ascii="Arial" w:cs="Arial" w:eastAsia="Arial" w:hAnsi="Arial"/>
          <w:b/>
          <w:bCs/>
          <w:color w:val="0B1B2B"/>
          <w:sz w:val="20"/>
          <w:szCs w:val="20"/>
        </w:rPr>
        <w:t xml:space="preserve">Hazard statement: </w:t>
      </w:r>
      <w:r>
        <w:rPr>
          <w:rFonts w:ascii="Arial" w:cs="Arial" w:eastAsia="Arial" w:hAnsi="Arial"/>
          <w:color w:val="0B1B2B"/>
          <w:sz w:val="20"/>
          <w:szCs w:val="20"/>
        </w:rPr>
        <w:t xml:space="preserve">H225: Highly flammable liquid and vapor.</w:t>
      </w:r>
    </w:p>
    <w:p>
      <w:pPr>
        <w:pStyle w:val="ListParagraph"/>
        <w:numPr>
          <w:ilvl w:val="0"/>
          <w:numId w:val="1"/>
        </w:numPr>
        <w:spacing w:after="60" w:line="300"/>
      </w:pPr>
      <w:r>
        <w:rPr>
          <w:rFonts w:ascii="Arial" w:cs="Arial" w:eastAsia="Arial" w:hAnsi="Arial"/>
          <w:b/>
          <w:bCs/>
          <w:color w:val="0B1B2B"/>
          <w:sz w:val="20"/>
          <w:szCs w:val="20"/>
        </w:rPr>
        <w:t xml:space="preserve">Hazard statement: </w:t>
      </w:r>
      <w:r>
        <w:rPr>
          <w:rFonts w:ascii="Arial" w:cs="Arial" w:eastAsia="Arial" w:hAnsi="Arial"/>
          <w:color w:val="0B1B2B"/>
          <w:sz w:val="20"/>
          <w:szCs w:val="20"/>
        </w:rPr>
        <w:t xml:space="preserve">H319: Causes serious eye irritation.</w:t>
      </w:r>
    </w:p>
    <w:p>
      <w:pPr>
        <w:pStyle w:val="ListParagraph"/>
        <w:numPr>
          <w:ilvl w:val="0"/>
          <w:numId w:val="1"/>
        </w:numPr>
        <w:spacing w:after="60" w:line="300"/>
      </w:pPr>
      <w:r>
        <w:rPr>
          <w:rFonts w:ascii="Arial" w:cs="Arial" w:eastAsia="Arial" w:hAnsi="Arial"/>
          <w:b/>
          <w:bCs/>
          <w:color w:val="0B1B2B"/>
          <w:sz w:val="20"/>
          <w:szCs w:val="20"/>
        </w:rPr>
        <w:t xml:space="preserve">Hazard statement: </w:t>
      </w:r>
      <w:r>
        <w:rPr>
          <w:rFonts w:ascii="Arial" w:cs="Arial" w:eastAsia="Arial" w:hAnsi="Arial"/>
          <w:color w:val="0B1B2B"/>
          <w:sz w:val="20"/>
          <w:szCs w:val="20"/>
        </w:rPr>
        <w:t xml:space="preserve">H336: May cause drowsiness or dizziness.</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P280: Wear protective gloves, protective clothing, eye protection and face protection.</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P210: Keep away from heat, hot surfaces, sparks, open flames and other ignition sources. No smoking.</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P271: Use only outdoors or in a well-ventilated area.</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P305+P351+P338: IF IN EYES: Rinse cautiously with water for several minutes. Remove contact lenses if present and easy to do - continue rinsing.</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P304+P340: IF INHALED: Remove person to fresh air and keep comfortable for breathing.</w:t>
      </w:r>
    </w:p>
    <w:p>
      <w:pPr>
        <w:pStyle w:val="ListParagraph"/>
        <w:numPr>
          <w:ilvl w:val="0"/>
          <w:numId w:val="1"/>
        </w:numPr>
        <w:spacing w:after="60" w:line="300"/>
      </w:pPr>
      <w:r>
        <w:rPr>
          <w:rFonts w:ascii="Arial" w:cs="Arial" w:eastAsia="Arial" w:hAnsi="Arial"/>
          <w:b/>
          <w:bCs/>
          <w:color w:val="0B1B2B"/>
          <w:sz w:val="20"/>
          <w:szCs w:val="20"/>
        </w:rPr>
        <w:t xml:space="preserve">Precautionary statement: </w:t>
      </w:r>
      <w:r>
        <w:rPr>
          <w:rFonts w:ascii="Arial" w:cs="Arial" w:eastAsia="Arial" w:hAnsi="Arial"/>
          <w:color w:val="0B1B2B"/>
          <w:sz w:val="20"/>
          <w:szCs w:val="20"/>
        </w:rPr>
        <w:t xml:space="preserve">P370+P378: In case of fire: Use appropriate extinguishing media.</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3: Composition / Information on Ingredients</w:t>
      </w:r>
    </w:p>
    <w:p>
      <w:pPr>
        <w:keepNext/>
        <w:spacing w:after="60" w:before="120" w:line="300"/>
      </w:pPr>
      <w:r>
        <w:rPr>
          <w:rFonts w:ascii="Arial" w:cs="Arial" w:eastAsia="Arial" w:hAnsi="Arial"/>
          <w:b/>
          <w:bCs/>
          <w:color w:val="0B1B2B"/>
          <w:sz w:val="20"/>
          <w:szCs w:val="20"/>
        </w:rPr>
        <w:t xml:space="preserve">3.1 Substances</w:t>
      </w:r>
    </w:p>
    <w:p>
      <w:pPr>
        <w:pStyle w:val="ListParagraph"/>
        <w:numPr>
          <w:ilvl w:val="0"/>
          <w:numId w:val="1"/>
        </w:numPr>
        <w:spacing w:after="60" w:line="300"/>
      </w:pPr>
      <w:r>
        <w:rPr>
          <w:rFonts w:ascii="Arial" w:cs="Arial" w:eastAsia="Arial" w:hAnsi="Arial"/>
          <w:b/>
          <w:bCs/>
          <w:color w:val="0B1B2B"/>
          <w:sz w:val="20"/>
          <w:szCs w:val="20"/>
        </w:rPr>
        <w:t xml:space="preserve">Substance name: </w:t>
      </w:r>
      <w:r>
        <w:rPr>
          <w:rFonts w:ascii="Arial" w:cs="Arial" w:eastAsia="Arial" w:hAnsi="Arial"/>
          <w:color w:val="0B1B2B"/>
          <w:sz w:val="20"/>
          <w:szCs w:val="20"/>
        </w:rPr>
        <w:t xml:space="preserve">Acetone</w:t>
      </w:r>
    </w:p>
    <w:p>
      <w:pPr>
        <w:pStyle w:val="ListParagraph"/>
        <w:numPr>
          <w:ilvl w:val="0"/>
          <w:numId w:val="1"/>
        </w:numPr>
        <w:spacing w:after="60" w:line="300"/>
      </w:pPr>
      <w:r>
        <w:rPr>
          <w:rFonts w:ascii="Arial" w:cs="Arial" w:eastAsia="Arial" w:hAnsi="Arial"/>
          <w:b/>
          <w:bCs/>
          <w:color w:val="0B1B2B"/>
          <w:sz w:val="20"/>
          <w:szCs w:val="20"/>
        </w:rPr>
        <w:t xml:space="preserve">CAS number: </w:t>
      </w:r>
      <w:r>
        <w:rPr>
          <w:rFonts w:ascii="Arial" w:cs="Arial" w:eastAsia="Arial" w:hAnsi="Arial"/>
          <w:color w:val="0B1B2B"/>
          <w:sz w:val="20"/>
          <w:szCs w:val="20"/>
        </w:rPr>
        <w:t xml:space="preserve">67-64-1</w:t>
      </w:r>
    </w:p>
    <w:p>
      <w:pPr>
        <w:pStyle w:val="ListParagraph"/>
        <w:numPr>
          <w:ilvl w:val="0"/>
          <w:numId w:val="1"/>
        </w:numPr>
        <w:spacing w:after="60" w:line="300"/>
      </w:pPr>
      <w:r>
        <w:rPr>
          <w:rFonts w:ascii="Arial" w:cs="Arial" w:eastAsia="Arial" w:hAnsi="Arial"/>
          <w:b/>
          <w:bCs/>
          <w:color w:val="0B1B2B"/>
          <w:sz w:val="20"/>
          <w:szCs w:val="20"/>
        </w:rPr>
        <w:t xml:space="preserve">Chemical name (IUPAC): </w:t>
      </w:r>
      <w:r>
        <w:rPr>
          <w:rFonts w:ascii="Arial" w:cs="Arial" w:eastAsia="Arial" w:hAnsi="Arial"/>
          <w:color w:val="0B1B2B"/>
          <w:sz w:val="20"/>
          <w:szCs w:val="20"/>
        </w:rPr>
        <w:t xml:space="preserve">propan-2-one</w:t>
      </w:r>
    </w:p>
    <w:p>
      <w:pPr>
        <w:pStyle w:val="ListParagraph"/>
        <w:numPr>
          <w:ilvl w:val="0"/>
          <w:numId w:val="1"/>
        </w:numPr>
        <w:spacing w:after="60" w:line="300"/>
      </w:pPr>
      <w:r>
        <w:rPr>
          <w:rFonts w:ascii="Arial" w:cs="Arial" w:eastAsia="Arial" w:hAnsi="Arial"/>
          <w:b/>
          <w:bCs/>
          <w:color w:val="0B1B2B"/>
          <w:sz w:val="20"/>
          <w:szCs w:val="20"/>
        </w:rPr>
        <w:t xml:space="preserve">Molecular formula: </w:t>
      </w:r>
      <w:r>
        <w:rPr>
          <w:rFonts w:ascii="Arial" w:cs="Arial" w:eastAsia="Arial" w:hAnsi="Arial"/>
          <w:color w:val="0B1B2B"/>
          <w:sz w:val="20"/>
          <w:szCs w:val="20"/>
        </w:rPr>
        <w:t xml:space="preserve">C3H6O</w:t>
      </w:r>
    </w:p>
    <w:p>
      <w:pPr>
        <w:pStyle w:val="ListParagraph"/>
        <w:numPr>
          <w:ilvl w:val="0"/>
          <w:numId w:val="1"/>
        </w:numPr>
        <w:spacing w:after="60" w:line="300"/>
      </w:pPr>
      <w:r>
        <w:rPr>
          <w:rFonts w:ascii="Arial" w:cs="Arial" w:eastAsia="Arial" w:hAnsi="Arial"/>
          <w:b/>
          <w:bCs/>
          <w:color w:val="0B1B2B"/>
          <w:sz w:val="20"/>
          <w:szCs w:val="20"/>
        </w:rPr>
        <w:t xml:space="preserve">Molecular weight: </w:t>
      </w:r>
      <w:r>
        <w:rPr>
          <w:rFonts w:ascii="Arial" w:cs="Arial" w:eastAsia="Arial" w:hAnsi="Arial"/>
          <w:color w:val="0B1B2B"/>
          <w:sz w:val="20"/>
          <w:szCs w:val="20"/>
        </w:rPr>
        <w:t xml:space="preserve">58.08</w:t>
      </w:r>
    </w:p>
    <w:p>
      <w:pPr>
        <w:pStyle w:val="ListParagraph"/>
        <w:numPr>
          <w:ilvl w:val="0"/>
          <w:numId w:val="1"/>
        </w:numPr>
        <w:spacing w:after="60" w:line="300"/>
      </w:pPr>
      <w:r>
        <w:rPr>
          <w:rFonts w:ascii="Arial" w:cs="Arial" w:eastAsia="Arial" w:hAnsi="Arial"/>
          <w:b/>
          <w:bCs/>
          <w:color w:val="0B1B2B"/>
          <w:sz w:val="20"/>
          <w:szCs w:val="20"/>
        </w:rPr>
        <w:t xml:space="preserve">Composition: </w:t>
      </w:r>
      <w:r>
        <w:rPr>
          <w:rFonts w:ascii="Arial" w:cs="Arial" w:eastAsia="Arial" w:hAnsi="Arial"/>
          <w:color w:val="0B1B2B"/>
          <w:sz w:val="20"/>
          <w:szCs w:val="20"/>
        </w:rPr>
        <w:t xml:space="preserve">Single constituent substance represented by the resolved PubChem compound record.</w:t>
      </w:r>
    </w:p>
    <w:p>
      <w:pPr>
        <w:pStyle w:val="ListParagraph"/>
        <w:numPr>
          <w:ilvl w:val="0"/>
          <w:numId w:val="1"/>
        </w:numPr>
        <w:spacing w:after="60" w:line="300"/>
      </w:pPr>
      <w:r>
        <w:rPr>
          <w:rFonts w:ascii="Arial" w:cs="Arial" w:eastAsia="Arial" w:hAnsi="Arial"/>
          <w:b/>
          <w:bCs/>
          <w:color w:val="0B1B2B"/>
          <w:sz w:val="20"/>
          <w:szCs w:val="20"/>
        </w:rPr>
        <w:t xml:space="preserve">Impurities and stabilizing additives: </w:t>
      </w:r>
      <w:r>
        <w:rPr>
          <w:rFonts w:ascii="Arial" w:cs="Arial" w:eastAsia="Arial" w:hAnsi="Arial"/>
          <w:color w:val="0B1B2B"/>
          <w:sz w:val="20"/>
          <w:szCs w:val="20"/>
        </w:rPr>
        <w:t xml:space="preserve">No classification-relevant impurities or stabilizers are identified in the resolved PubChem single-substance record; confirm the sold grade before external issue.</w:t>
      </w:r>
    </w:p>
    <w:p>
      <w:pPr>
        <w:keepNext/>
        <w:spacing w:after="60" w:before="120" w:line="300"/>
      </w:pPr>
      <w:r>
        <w:rPr>
          <w:rFonts w:ascii="Arial" w:cs="Arial" w:eastAsia="Arial" w:hAnsi="Arial"/>
          <w:b/>
          <w:bCs/>
          <w:color w:val="0B1B2B"/>
          <w:sz w:val="20"/>
          <w:szCs w:val="20"/>
        </w:rPr>
        <w:t xml:space="preserve">3.2 Mixtures</w:t>
      </w:r>
    </w:p>
    <w:p>
      <w:pPr>
        <w:spacing w:after="100" w:line="300"/>
      </w:pPr>
      <w:r>
        <w:rPr>
          <w:rFonts w:ascii="Arial" w:cs="Arial" w:eastAsia="Arial" w:hAnsi="Arial"/>
          <w:color w:val="0B1B2B"/>
          <w:sz w:val="20"/>
          <w:szCs w:val="20"/>
        </w:rPr>
        <w:t xml:space="preserve">Not applicable; the product is supplied as a single substance, not a formulated mixture.</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4: First-Aid Measures</w:t>
      </w:r>
    </w:p>
    <w:p>
      <w:pPr>
        <w:keepNext/>
        <w:spacing w:after="60" w:before="120" w:line="300"/>
      </w:pPr>
      <w:r>
        <w:rPr>
          <w:rFonts w:ascii="Arial" w:cs="Arial" w:eastAsia="Arial" w:hAnsi="Arial"/>
          <w:b/>
          <w:bCs/>
          <w:color w:val="0B1B2B"/>
          <w:sz w:val="20"/>
          <w:szCs w:val="20"/>
        </w:rPr>
        <w:t xml:space="preserve">4.1 Description of first aid measures</w:t>
      </w:r>
    </w:p>
    <w:p>
      <w:pPr>
        <w:pStyle w:val="ListParagraph"/>
        <w:numPr>
          <w:ilvl w:val="0"/>
          <w:numId w:val="1"/>
        </w:numPr>
        <w:spacing w:after="60" w:line="300"/>
      </w:pPr>
      <w:r>
        <w:rPr>
          <w:rFonts w:ascii="Arial" w:cs="Arial" w:eastAsia="Arial" w:hAnsi="Arial"/>
          <w:b/>
          <w:bCs/>
          <w:color w:val="0B1B2B"/>
          <w:sz w:val="20"/>
          <w:szCs w:val="20"/>
        </w:rPr>
        <w:t xml:space="preserve">Inhalation: </w:t>
      </w:r>
      <w:r>
        <w:rPr>
          <w:rFonts w:ascii="Arial" w:cs="Arial" w:eastAsia="Arial" w:hAnsi="Arial"/>
          <w:color w:val="0B1B2B"/>
          <w:sz w:val="20"/>
          <w:szCs w:val="20"/>
        </w:rPr>
        <w:t xml:space="preserve">Move the exposed person to fresh air and keep at rest in a position comfortable for breathing.</w:t>
      </w:r>
    </w:p>
    <w:p>
      <w:pPr>
        <w:pStyle w:val="ListParagraph"/>
        <w:numPr>
          <w:ilvl w:val="0"/>
          <w:numId w:val="1"/>
        </w:numPr>
        <w:spacing w:after="60" w:line="300"/>
      </w:pPr>
      <w:r>
        <w:rPr>
          <w:rFonts w:ascii="Arial" w:cs="Arial" w:eastAsia="Arial" w:hAnsi="Arial"/>
          <w:b/>
          <w:bCs/>
          <w:color w:val="0B1B2B"/>
          <w:sz w:val="20"/>
          <w:szCs w:val="20"/>
        </w:rPr>
        <w:t xml:space="preserve">Skin contact: </w:t>
      </w:r>
      <w:r>
        <w:rPr>
          <w:rFonts w:ascii="Arial" w:cs="Arial" w:eastAsia="Arial" w:hAnsi="Arial"/>
          <w:color w:val="0B1B2B"/>
          <w:sz w:val="20"/>
          <w:szCs w:val="20"/>
        </w:rPr>
        <w:t xml:space="preserve">Wash exposed skin thoroughly with soap and water and remove contaminated clothing.</w:t>
      </w:r>
    </w:p>
    <w:p>
      <w:pPr>
        <w:pStyle w:val="ListParagraph"/>
        <w:numPr>
          <w:ilvl w:val="0"/>
          <w:numId w:val="1"/>
        </w:numPr>
        <w:spacing w:after="60" w:line="300"/>
      </w:pPr>
      <w:r>
        <w:rPr>
          <w:rFonts w:ascii="Arial" w:cs="Arial" w:eastAsia="Arial" w:hAnsi="Arial"/>
          <w:b/>
          <w:bCs/>
          <w:color w:val="0B1B2B"/>
          <w:sz w:val="20"/>
          <w:szCs w:val="20"/>
        </w:rPr>
        <w:t xml:space="preserve">Eye contact: </w:t>
      </w:r>
      <w:r>
        <w:rPr>
          <w:rFonts w:ascii="Arial" w:cs="Arial" w:eastAsia="Arial" w:hAnsi="Arial"/>
          <w:color w:val="0B1B2B"/>
          <w:sz w:val="20"/>
          <w:szCs w:val="20"/>
        </w:rPr>
        <w:t xml:space="preserve">Rinse cautiously with water for several minutes and remove contact lenses if present and easy to do.</w:t>
      </w:r>
    </w:p>
    <w:p>
      <w:pPr>
        <w:pStyle w:val="ListParagraph"/>
        <w:numPr>
          <w:ilvl w:val="0"/>
          <w:numId w:val="1"/>
        </w:numPr>
        <w:spacing w:after="60" w:line="300"/>
      </w:pPr>
      <w:r>
        <w:rPr>
          <w:rFonts w:ascii="Arial" w:cs="Arial" w:eastAsia="Arial" w:hAnsi="Arial"/>
          <w:b/>
          <w:bCs/>
          <w:color w:val="0B1B2B"/>
          <w:sz w:val="20"/>
          <w:szCs w:val="20"/>
        </w:rPr>
        <w:t xml:space="preserve">Ingestion: </w:t>
      </w:r>
      <w:r>
        <w:rPr>
          <w:rFonts w:ascii="Arial" w:cs="Arial" w:eastAsia="Arial" w:hAnsi="Arial"/>
          <w:color w:val="0B1B2B"/>
          <w:sz w:val="20"/>
          <w:szCs w:val="20"/>
        </w:rPr>
        <w:t xml:space="preserve">Rinse mouth and obtain medical advice if symptoms occur; do not induce vomiting unless directed by medical personnel.</w:t>
      </w:r>
    </w:p>
    <w:p>
      <w:pPr>
        <w:keepNext/>
        <w:spacing w:after="60" w:before="120" w:line="300"/>
      </w:pPr>
      <w:r>
        <w:rPr>
          <w:rFonts w:ascii="Arial" w:cs="Arial" w:eastAsia="Arial" w:hAnsi="Arial"/>
          <w:b/>
          <w:bCs/>
          <w:color w:val="0B1B2B"/>
          <w:sz w:val="20"/>
          <w:szCs w:val="20"/>
        </w:rPr>
        <w:t xml:space="preserve">4.2 Most important symptoms and effects, both acute and delayed</w:t>
      </w:r>
    </w:p>
    <w:p>
      <w:pPr>
        <w:pStyle w:val="ListParagraph"/>
        <w:numPr>
          <w:ilvl w:val="0"/>
          <w:numId w:val="1"/>
        </w:numPr>
        <w:spacing w:after="60" w:line="300"/>
      </w:pPr>
      <w:r>
        <w:rPr>
          <w:rFonts w:ascii="Arial" w:cs="Arial" w:eastAsia="Arial" w:hAnsi="Arial"/>
          <w:b/>
          <w:bCs/>
          <w:color w:val="0B1B2B"/>
          <w:sz w:val="20"/>
          <w:szCs w:val="20"/>
        </w:rPr>
        <w:t xml:space="preserve">Inhalation Exposure: </w:t>
      </w:r>
      <w:r>
        <w:rPr>
          <w:rFonts w:ascii="Arial" w:cs="Arial" w:eastAsia="Arial" w:hAnsi="Arial"/>
          <w:color w:val="0B1B2B"/>
          <w:sz w:val="20"/>
          <w:szCs w:val="20"/>
        </w:rPr>
        <w:t xml:space="preserve">Sore throat. Cough. Headache. Dizziness. Confusion. Drowsiness. Unconsciousness.</w:t>
      </w:r>
    </w:p>
    <w:p>
      <w:pPr>
        <w:pStyle w:val="ListParagraph"/>
        <w:numPr>
          <w:ilvl w:val="0"/>
          <w:numId w:val="1"/>
        </w:numPr>
        <w:spacing w:after="60" w:line="300"/>
      </w:pPr>
      <w:r>
        <w:rPr>
          <w:rFonts w:ascii="Arial" w:cs="Arial" w:eastAsia="Arial" w:hAnsi="Arial"/>
          <w:b/>
          <w:bCs/>
          <w:color w:val="0B1B2B"/>
          <w:sz w:val="20"/>
          <w:szCs w:val="20"/>
        </w:rPr>
        <w:t xml:space="preserve">Skin Exposure: </w:t>
      </w:r>
      <w:r>
        <w:rPr>
          <w:rFonts w:ascii="Arial" w:cs="Arial" w:eastAsia="Arial" w:hAnsi="Arial"/>
          <w:color w:val="0B1B2B"/>
          <w:sz w:val="20"/>
          <w:szCs w:val="20"/>
        </w:rPr>
        <w:t xml:space="preserve">Dry skin.</w:t>
      </w:r>
    </w:p>
    <w:p>
      <w:pPr>
        <w:pStyle w:val="ListParagraph"/>
        <w:numPr>
          <w:ilvl w:val="0"/>
          <w:numId w:val="1"/>
        </w:numPr>
        <w:spacing w:after="60" w:line="300"/>
      </w:pPr>
      <w:r>
        <w:rPr>
          <w:rFonts w:ascii="Arial" w:cs="Arial" w:eastAsia="Arial" w:hAnsi="Arial"/>
          <w:b/>
          <w:bCs/>
          <w:color w:val="0B1B2B"/>
          <w:sz w:val="20"/>
          <w:szCs w:val="20"/>
        </w:rPr>
        <w:t xml:space="preserve">Eye Exposure: </w:t>
      </w:r>
      <w:r>
        <w:rPr>
          <w:rFonts w:ascii="Arial" w:cs="Arial" w:eastAsia="Arial" w:hAnsi="Arial"/>
          <w:color w:val="0B1B2B"/>
          <w:sz w:val="20"/>
          <w:szCs w:val="20"/>
        </w:rPr>
        <w:t xml:space="preserve">Redness. Pain. Blurred vision.</w:t>
      </w:r>
    </w:p>
    <w:p>
      <w:pPr>
        <w:keepNext/>
        <w:spacing w:after="60" w:before="120" w:line="300"/>
      </w:pPr>
      <w:r>
        <w:rPr>
          <w:rFonts w:ascii="Arial" w:cs="Arial" w:eastAsia="Arial" w:hAnsi="Arial"/>
          <w:b/>
          <w:bCs/>
          <w:color w:val="0B1B2B"/>
          <w:sz w:val="20"/>
          <w:szCs w:val="20"/>
        </w:rPr>
        <w:t xml:space="preserve">4.3 Indication of any immediate medical attention and special treatment needed</w:t>
      </w:r>
    </w:p>
    <w:p>
      <w:pPr>
        <w:spacing w:after="100" w:line="300"/>
      </w:pPr>
      <w:r>
        <w:rPr>
          <w:rFonts w:ascii="Arial" w:cs="Arial" w:eastAsia="Arial" w:hAnsi="Arial"/>
          <w:color w:val="0B1B2B"/>
          <w:sz w:val="20"/>
          <w:szCs w:val="20"/>
        </w:rPr>
        <w:t xml:space="preserve">Treat symptomatically and supportively. Immediate medical evaluation is recommended for significant inhalation, ingestion, or splash exposure.</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5: Fire-Fighting Measures</w:t>
      </w:r>
    </w:p>
    <w:p>
      <w:pPr>
        <w:keepNext/>
        <w:spacing w:after="60" w:before="120" w:line="300"/>
      </w:pPr>
      <w:r>
        <w:rPr>
          <w:rFonts w:ascii="Arial" w:cs="Arial" w:eastAsia="Arial" w:hAnsi="Arial"/>
          <w:b/>
          <w:bCs/>
          <w:color w:val="0B1B2B"/>
          <w:sz w:val="20"/>
          <w:szCs w:val="20"/>
        </w:rPr>
        <w:t xml:space="preserve">5.1 Extinguishing media</w:t>
      </w:r>
    </w:p>
    <w:p>
      <w:pPr>
        <w:pStyle w:val="ListParagraph"/>
        <w:numPr>
          <w:ilvl w:val="0"/>
          <w:numId w:val="1"/>
        </w:numPr>
        <w:spacing w:after="60" w:line="300"/>
      </w:pPr>
      <w:r>
        <w:rPr>
          <w:rFonts w:ascii="Arial" w:cs="Arial" w:eastAsia="Arial" w:hAnsi="Arial"/>
          <w:b/>
          <w:bCs/>
          <w:color w:val="0B1B2B"/>
          <w:sz w:val="20"/>
          <w:szCs w:val="20"/>
        </w:rPr>
        <w:t xml:space="preserve">Suitable extinguishing media: </w:t>
      </w:r>
      <w:r>
        <w:rPr>
          <w:rFonts w:ascii="Arial" w:cs="Arial" w:eastAsia="Arial" w:hAnsi="Arial"/>
          <w:color w:val="0B1B2B"/>
          <w:sz w:val="20"/>
          <w:szCs w:val="20"/>
        </w:rPr>
        <w:t xml:space="preserve">alcohol-resistant foam, dry chemical, or carbon dioxide; water spray may be used to cool exposed containers.</w:t>
      </w:r>
    </w:p>
    <w:p>
      <w:pPr>
        <w:pStyle w:val="ListParagraph"/>
        <w:numPr>
          <w:ilvl w:val="0"/>
          <w:numId w:val="1"/>
        </w:numPr>
        <w:spacing w:after="60" w:line="300"/>
      </w:pPr>
      <w:r>
        <w:rPr>
          <w:rFonts w:ascii="Arial" w:cs="Arial" w:eastAsia="Arial" w:hAnsi="Arial"/>
          <w:b/>
          <w:bCs/>
          <w:color w:val="0B1B2B"/>
          <w:sz w:val="20"/>
          <w:szCs w:val="20"/>
        </w:rPr>
        <w:t xml:space="preserve">Unsuitable extinguishing media: </w:t>
      </w:r>
      <w:r>
        <w:rPr>
          <w:rFonts w:ascii="Arial" w:cs="Arial" w:eastAsia="Arial" w:hAnsi="Arial"/>
          <w:color w:val="0B1B2B"/>
          <w:sz w:val="20"/>
          <w:szCs w:val="20"/>
        </w:rPr>
        <w:t xml:space="preserve">Do not use a direct water jet on burning liquid surfaces if it can spread the fire.</w:t>
      </w:r>
    </w:p>
    <w:p>
      <w:pPr>
        <w:keepNext/>
        <w:spacing w:after="60" w:before="120" w:line="300"/>
      </w:pPr>
      <w:r>
        <w:rPr>
          <w:rFonts w:ascii="Arial" w:cs="Arial" w:eastAsia="Arial" w:hAnsi="Arial"/>
          <w:b/>
          <w:bCs/>
          <w:color w:val="0B1B2B"/>
          <w:sz w:val="20"/>
          <w:szCs w:val="20"/>
        </w:rPr>
        <w:t xml:space="preserve">5.2 Special hazards arising from the substance or mixture</w:t>
      </w:r>
    </w:p>
    <w:p>
      <w:pPr>
        <w:pStyle w:val="ListParagraph"/>
        <w:numPr>
          <w:ilvl w:val="0"/>
          <w:numId w:val="1"/>
        </w:numPr>
        <w:spacing w:after="60" w:line="300"/>
      </w:pPr>
      <w:r>
        <w:rPr>
          <w:rFonts w:ascii="Arial" w:cs="Arial" w:eastAsia="Arial" w:hAnsi="Arial"/>
          <w:b/>
          <w:bCs/>
          <w:color w:val="0B1B2B"/>
          <w:sz w:val="20"/>
          <w:szCs w:val="20"/>
        </w:rPr>
        <w:t xml:space="preserve">Specific hazards: </w:t>
      </w:r>
      <w:r>
        <w:rPr>
          <w:rFonts w:ascii="Arial" w:cs="Arial" w:eastAsia="Arial" w:hAnsi="Arial"/>
          <w:color w:val="0B1B2B"/>
          <w:sz w:val="20"/>
          <w:szCs w:val="20"/>
        </w:rPr>
        <w:t xml:space="preserve">Vapors may form ignitable mixtures with air and may travel to a remote ignition source.</w:t>
      </w:r>
    </w:p>
    <w:p>
      <w:pPr>
        <w:keepNext/>
        <w:spacing w:after="60" w:before="120" w:line="300"/>
      </w:pPr>
      <w:r>
        <w:rPr>
          <w:rFonts w:ascii="Arial" w:cs="Arial" w:eastAsia="Arial" w:hAnsi="Arial"/>
          <w:b/>
          <w:bCs/>
          <w:color w:val="0B1B2B"/>
          <w:sz w:val="20"/>
          <w:szCs w:val="20"/>
        </w:rPr>
        <w:t xml:space="preserve">5.3 Advice for firefighters</w:t>
      </w:r>
    </w:p>
    <w:p>
      <w:pPr>
        <w:pStyle w:val="ListParagraph"/>
        <w:numPr>
          <w:ilvl w:val="0"/>
          <w:numId w:val="1"/>
        </w:numPr>
        <w:spacing w:after="60" w:line="300"/>
      </w:pPr>
      <w:r>
        <w:rPr>
          <w:rFonts w:ascii="Arial" w:cs="Arial" w:eastAsia="Arial" w:hAnsi="Arial"/>
          <w:b/>
          <w:bCs/>
          <w:color w:val="0B1B2B"/>
          <w:sz w:val="20"/>
          <w:szCs w:val="20"/>
        </w:rPr>
        <w:t xml:space="preserve">Protective equipment for firefighters: </w:t>
      </w:r>
      <w:r>
        <w:rPr>
          <w:rFonts w:ascii="Arial" w:cs="Arial" w:eastAsia="Arial" w:hAnsi="Arial"/>
          <w:color w:val="0B1B2B"/>
          <w:sz w:val="20"/>
          <w:szCs w:val="20"/>
        </w:rPr>
        <w:t xml:space="preserve">Wear self-contained breathing apparatus and full protective gear in enclosed or poorly ventilated areas.</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6: Accidental Release Measures</w:t>
      </w:r>
    </w:p>
    <w:p>
      <w:pPr>
        <w:keepNext/>
        <w:spacing w:after="60" w:before="120" w:line="300"/>
      </w:pPr>
      <w:r>
        <w:rPr>
          <w:rFonts w:ascii="Arial" w:cs="Arial" w:eastAsia="Arial" w:hAnsi="Arial"/>
          <w:b/>
          <w:bCs/>
          <w:color w:val="0B1B2B"/>
          <w:sz w:val="20"/>
          <w:szCs w:val="20"/>
        </w:rPr>
        <w:t xml:space="preserve">6.1 Personal precautions, protective equipment and emergency procedures</w:t>
      </w:r>
    </w:p>
    <w:p>
      <w:pPr>
        <w:pStyle w:val="ListParagraph"/>
        <w:numPr>
          <w:ilvl w:val="0"/>
          <w:numId w:val="1"/>
        </w:numPr>
        <w:spacing w:after="60" w:line="300"/>
      </w:pPr>
      <w:r>
        <w:rPr>
          <w:rFonts w:ascii="Arial" w:cs="Arial" w:eastAsia="Arial" w:hAnsi="Arial"/>
          <w:b/>
          <w:bCs/>
          <w:color w:val="0B1B2B"/>
          <w:sz w:val="20"/>
          <w:szCs w:val="20"/>
        </w:rPr>
        <w:t xml:space="preserve">Personal precautions: </w:t>
      </w:r>
      <w:r>
        <w:rPr>
          <w:rFonts w:ascii="Arial" w:cs="Arial" w:eastAsia="Arial" w:hAnsi="Arial"/>
          <w:color w:val="0B1B2B"/>
          <w:sz w:val="20"/>
          <w:szCs w:val="20"/>
        </w:rPr>
        <w:t xml:space="preserve">Isolate the spill area, provide ventilation, and avoid unnecessary exposure during cleanup.</w:t>
      </w:r>
    </w:p>
    <w:p>
      <w:pPr>
        <w:spacing w:after="100" w:line="300"/>
      </w:pPr>
      <w:r>
        <w:rPr>
          <w:rFonts w:ascii="Arial" w:cs="Arial" w:eastAsia="Arial" w:hAnsi="Arial"/>
          <w:color w:val="0B1B2B"/>
          <w:sz w:val="20"/>
          <w:szCs w:val="20"/>
        </w:rPr>
        <w:t xml:space="preserve">Eliminate all ignition sources and use non-sparking tools during spill control.</w:t>
      </w:r>
    </w:p>
    <w:p>
      <w:pPr>
        <w:keepNext/>
        <w:spacing w:after="60" w:before="120" w:line="300"/>
      </w:pPr>
      <w:r>
        <w:rPr>
          <w:rFonts w:ascii="Arial" w:cs="Arial" w:eastAsia="Arial" w:hAnsi="Arial"/>
          <w:b/>
          <w:bCs/>
          <w:color w:val="0B1B2B"/>
          <w:sz w:val="20"/>
          <w:szCs w:val="20"/>
        </w:rPr>
        <w:t xml:space="preserve">6.2 Environmental precautions</w:t>
      </w:r>
    </w:p>
    <w:p>
      <w:pPr>
        <w:pStyle w:val="ListParagraph"/>
        <w:numPr>
          <w:ilvl w:val="0"/>
          <w:numId w:val="1"/>
        </w:numPr>
        <w:spacing w:after="60" w:line="300"/>
      </w:pPr>
      <w:r>
        <w:rPr>
          <w:rFonts w:ascii="Arial" w:cs="Arial" w:eastAsia="Arial" w:hAnsi="Arial"/>
          <w:b/>
          <w:bCs/>
          <w:color w:val="0B1B2B"/>
          <w:sz w:val="20"/>
          <w:szCs w:val="20"/>
        </w:rPr>
        <w:t xml:space="preserve">Environmental precautions: </w:t>
      </w:r>
      <w:r>
        <w:rPr>
          <w:rFonts w:ascii="Arial" w:cs="Arial" w:eastAsia="Arial" w:hAnsi="Arial"/>
          <w:color w:val="0B1B2B"/>
          <w:sz w:val="20"/>
          <w:szCs w:val="20"/>
        </w:rPr>
        <w:t xml:space="preserve">Prevent the material from reaching drains, soil, or surface water until disposal arrangements are in place.</w:t>
      </w:r>
    </w:p>
    <w:p>
      <w:pPr>
        <w:keepNext/>
        <w:spacing w:after="60" w:before="120" w:line="300"/>
      </w:pPr>
      <w:r>
        <w:rPr>
          <w:rFonts w:ascii="Arial" w:cs="Arial" w:eastAsia="Arial" w:hAnsi="Arial"/>
          <w:b/>
          <w:bCs/>
          <w:color w:val="0B1B2B"/>
          <w:sz w:val="20"/>
          <w:szCs w:val="20"/>
        </w:rPr>
        <w:t xml:space="preserve">6.3 Methods and material for containment and cleaning up</w:t>
      </w:r>
    </w:p>
    <w:p>
      <w:pPr>
        <w:pStyle w:val="ListParagraph"/>
        <w:numPr>
          <w:ilvl w:val="0"/>
          <w:numId w:val="1"/>
        </w:numPr>
        <w:spacing w:after="60" w:line="300"/>
      </w:pPr>
      <w:r>
        <w:rPr>
          <w:rFonts w:ascii="Arial" w:cs="Arial" w:eastAsia="Arial" w:hAnsi="Arial"/>
          <w:b/>
          <w:bCs/>
          <w:color w:val="0B1B2B"/>
          <w:sz w:val="20"/>
          <w:szCs w:val="20"/>
        </w:rPr>
        <w:t xml:space="preserve">Containment and cleanup: </w:t>
      </w:r>
      <w:r>
        <w:rPr>
          <w:rFonts w:ascii="Arial" w:cs="Arial" w:eastAsia="Arial" w:hAnsi="Arial"/>
          <w:color w:val="0B1B2B"/>
          <w:sz w:val="20"/>
          <w:szCs w:val="20"/>
        </w:rPr>
        <w:t xml:space="preserve">Absorb free liquid with inert material and transfer residues to a compatible waste container.</w:t>
      </w:r>
    </w:p>
    <w:p>
      <w:pPr>
        <w:keepNext/>
        <w:spacing w:after="60" w:before="120" w:line="300"/>
      </w:pPr>
      <w:r>
        <w:rPr>
          <w:rFonts w:ascii="Arial" w:cs="Arial" w:eastAsia="Arial" w:hAnsi="Arial"/>
          <w:b/>
          <w:bCs/>
          <w:color w:val="0B1B2B"/>
          <w:sz w:val="20"/>
          <w:szCs w:val="20"/>
        </w:rPr>
        <w:t xml:space="preserve">6.4 Reference to other sections</w:t>
      </w:r>
    </w:p>
    <w:p>
      <w:pPr>
        <w:spacing w:after="100" w:line="300"/>
      </w:pPr>
      <w:r>
        <w:rPr>
          <w:rFonts w:ascii="Arial" w:cs="Arial" w:eastAsia="Arial" w:hAnsi="Arial"/>
          <w:color w:val="0B1B2B"/>
          <w:sz w:val="20"/>
          <w:szCs w:val="20"/>
        </w:rPr>
        <w:t xml:space="preserve">See Section 8 for exposure controls and personal protection. See Section 13 for disposal considerations.</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7: Handling and Storage</w:t>
      </w:r>
    </w:p>
    <w:p>
      <w:pPr>
        <w:keepNext/>
        <w:spacing w:after="60" w:before="120" w:line="300"/>
      </w:pPr>
      <w:r>
        <w:rPr>
          <w:rFonts w:ascii="Arial" w:cs="Arial" w:eastAsia="Arial" w:hAnsi="Arial"/>
          <w:b/>
          <w:bCs/>
          <w:color w:val="0B1B2B"/>
          <w:sz w:val="20"/>
          <w:szCs w:val="20"/>
        </w:rPr>
        <w:t xml:space="preserve">7.1 Precautions for safe handling</w:t>
      </w:r>
    </w:p>
    <w:p>
      <w:pPr>
        <w:pStyle w:val="ListParagraph"/>
        <w:numPr>
          <w:ilvl w:val="0"/>
          <w:numId w:val="1"/>
        </w:numPr>
        <w:spacing w:after="60" w:line="300"/>
      </w:pPr>
      <w:r>
        <w:rPr>
          <w:rFonts w:ascii="Arial" w:cs="Arial" w:eastAsia="Arial" w:hAnsi="Arial"/>
          <w:b/>
          <w:bCs/>
          <w:color w:val="0B1B2B"/>
          <w:sz w:val="20"/>
          <w:szCs w:val="20"/>
        </w:rPr>
        <w:t xml:space="preserve">Handling: </w:t>
      </w:r>
      <w:r>
        <w:rPr>
          <w:rFonts w:ascii="Arial" w:cs="Arial" w:eastAsia="Arial" w:hAnsi="Arial"/>
          <w:color w:val="0B1B2B"/>
          <w:sz w:val="20"/>
          <w:szCs w:val="20"/>
        </w:rPr>
        <w:t xml:space="preserve">Use local exhaust ventilation where mist, dust, or vapor can be generated and avoid direct contact with eyes, skin, and clothing.</w:t>
      </w:r>
    </w:p>
    <w:p>
      <w:pPr>
        <w:pStyle w:val="ListParagraph"/>
        <w:numPr>
          <w:ilvl w:val="0"/>
          <w:numId w:val="1"/>
        </w:numPr>
        <w:spacing w:after="60" w:line="300"/>
      </w:pPr>
      <w:r>
        <w:rPr>
          <w:rFonts w:ascii="Arial" w:cs="Arial" w:eastAsia="Arial" w:hAnsi="Arial"/>
          <w:b/>
          <w:bCs/>
          <w:color w:val="0B1B2B"/>
          <w:sz w:val="20"/>
          <w:szCs w:val="20"/>
        </w:rPr>
        <w:t xml:space="preserve">Handling: </w:t>
      </w:r>
      <w:r>
        <w:rPr>
          <w:rFonts w:ascii="Arial" w:cs="Arial" w:eastAsia="Arial" w:hAnsi="Arial"/>
          <w:color w:val="0B1B2B"/>
          <w:sz w:val="20"/>
          <w:szCs w:val="20"/>
        </w:rPr>
        <w:t xml:space="preserve">Keep away from heat, sparks, open flame, and hot surfaces; ground and bond transfer equipment where applicable.</w:t>
      </w:r>
    </w:p>
    <w:p>
      <w:pPr>
        <w:keepNext/>
        <w:spacing w:after="60" w:before="120" w:line="300"/>
      </w:pPr>
      <w:r>
        <w:rPr>
          <w:rFonts w:ascii="Arial" w:cs="Arial" w:eastAsia="Arial" w:hAnsi="Arial"/>
          <w:b/>
          <w:bCs/>
          <w:color w:val="0B1B2B"/>
          <w:sz w:val="20"/>
          <w:szCs w:val="20"/>
        </w:rPr>
        <w:t xml:space="preserve">7.2 Conditions for safe storage, including any incompatibilities</w:t>
      </w:r>
    </w:p>
    <w:p>
      <w:pPr>
        <w:pStyle w:val="ListParagraph"/>
        <w:numPr>
          <w:ilvl w:val="0"/>
          <w:numId w:val="1"/>
        </w:numPr>
        <w:spacing w:after="60" w:line="300"/>
      </w:pPr>
      <w:r>
        <w:rPr>
          <w:rFonts w:ascii="Arial" w:cs="Arial" w:eastAsia="Arial" w:hAnsi="Arial"/>
          <w:b/>
          <w:bCs/>
          <w:color w:val="0B1B2B"/>
          <w:sz w:val="20"/>
          <w:szCs w:val="20"/>
        </w:rPr>
        <w:t xml:space="preserve">Storage: </w:t>
      </w:r>
      <w:r>
        <w:rPr>
          <w:rFonts w:ascii="Arial" w:cs="Arial" w:eastAsia="Arial" w:hAnsi="Arial"/>
          <w:color w:val="0B1B2B"/>
          <w:sz w:val="20"/>
          <w:szCs w:val="20"/>
        </w:rPr>
        <w:t xml:space="preserve">Keep containers tightly closed in a cool, dry, and well-ventilated area away from incompatible materials.</w:t>
      </w:r>
    </w:p>
    <w:p>
      <w:pPr>
        <w:keepNext/>
        <w:spacing w:after="60" w:before="120" w:line="300"/>
      </w:pPr>
      <w:r>
        <w:rPr>
          <w:rFonts w:ascii="Arial" w:cs="Arial" w:eastAsia="Arial" w:hAnsi="Arial"/>
          <w:b/>
          <w:bCs/>
          <w:color w:val="0B1B2B"/>
          <w:sz w:val="20"/>
          <w:szCs w:val="20"/>
        </w:rPr>
        <w:t xml:space="preserve">7.3 Specific end use(s)</w:t>
      </w:r>
    </w:p>
    <w:p>
      <w:pPr>
        <w:spacing w:after="100" w:line="300"/>
      </w:pPr>
      <w:r>
        <w:rPr>
          <w:rFonts w:ascii="Arial" w:cs="Arial" w:eastAsia="Arial" w:hAnsi="Arial"/>
          <w:color w:val="0B1B2B"/>
          <w:sz w:val="20"/>
          <w:szCs w:val="20"/>
        </w:rPr>
        <w:t xml:space="preserve">No specific end-use guidance is encoded automatically; refer to the identified uses in Section 1.2 and the customer-specific process review.</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8: Exposure Controls / Personal Protection</w:t>
      </w:r>
    </w:p>
    <w:p>
      <w:pPr>
        <w:keepNext/>
        <w:spacing w:after="60" w:before="120" w:line="300"/>
      </w:pPr>
      <w:r>
        <w:rPr>
          <w:rFonts w:ascii="Arial" w:cs="Arial" w:eastAsia="Arial" w:hAnsi="Arial"/>
          <w:b/>
          <w:bCs/>
          <w:color w:val="0B1B2B"/>
          <w:sz w:val="20"/>
          <w:szCs w:val="20"/>
        </w:rPr>
        <w:t xml:space="preserve">8.1 Control parameters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Property</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Details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OSHA PEL (TWA)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1000 ppm / 2400 mg/m³.</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ACGIH TLV (TWA)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500 ppm.</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ACGIH TLV (STEL)</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750 ppm.</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NIOSH REL (TWA)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250 ppm / 590 mg/m³.</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EU OEL (8-hour TWA)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500 ppm / 1210 mg/m³.</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EU OEL (15-minute STEL)</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1000 ppm / 2420 mg/m³.</w:t>
            </w:r>
          </w:p>
        </w:tc>
      </w:tr>
    </w:tbl>
    <w:p>
      <w:pPr>
        <w:keepNext/>
        <w:spacing w:after="60" w:before="120" w:line="300"/>
      </w:pPr>
      <w:r>
        <w:rPr>
          <w:rFonts w:ascii="Arial" w:cs="Arial" w:eastAsia="Arial" w:hAnsi="Arial"/>
          <w:b/>
          <w:bCs/>
          <w:color w:val="0B1B2B"/>
          <w:sz w:val="20"/>
          <w:szCs w:val="20"/>
        </w:rPr>
        <w:t xml:space="preserve">8.2 Exposure controls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Property</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Details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Engineering controls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Use local exhaust ventilation and explosion-protected equipment to keep airborne acetone below applicable limits and to prevent vapor accumulation.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Respiratory protection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If ventilation is inadequate, use a NIOSH-approved half-mask or full-face respirator with organic vapor cartridges; use supplied air or SCBA for unknown or IDLH concentrations.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Hand protection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Wear butyl rubber gloves, minimum 0.3 mm thickness; replace promptly if breakthrough or splash contamination is observed.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Eye/face protection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Use chemical splash goggles; add a face shield where splash, pouring, or drum transfer can occur.</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Skin/body protection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Wear impervious lab coat or flame-retardant antistatic protective clothing and closed chemical-resistant footwear.</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Hygiene measures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Wash thoroughly after handling, remove contaminated clothing promptly, and do not eat, drink, or smoke in the work area.</w:t>
            </w:r>
          </w:p>
        </w:tc>
      </w:tr>
    </w:tbl>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9: Physical and Chemical Properties</w:t>
      </w:r>
    </w:p>
    <w:p>
      <w:pPr>
        <w:keepNext/>
        <w:spacing w:after="60" w:before="120" w:line="300"/>
      </w:pPr>
      <w:r>
        <w:rPr>
          <w:rFonts w:ascii="Arial" w:cs="Arial" w:eastAsia="Arial" w:hAnsi="Arial"/>
          <w:b/>
          <w:bCs/>
          <w:color w:val="0B1B2B"/>
          <w:sz w:val="20"/>
          <w:szCs w:val="20"/>
        </w:rPr>
        <w:t xml:space="preserve">9.1 Information on basic physical and chemical properties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Property</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Value</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Physical form</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Liquid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Appearance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Colorless liquid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Odor</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Fruity odor</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Boiling point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57°C (133°F) at 1013 hPa</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Melting point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-94.9°C (-140°F)</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Flash point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-20°C (-4°F) closed cup</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Density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0.7845 g/cm³ at 20°C</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Vapor pressure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240 hPa at 20°C</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Water solubility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Miscible</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Log Pow (log Kow)</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-0.24 (measured)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Vapor density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 (air = 1)</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Lower explosive limit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2.6%</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Upper explosive limit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12.8%</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Auto-ignition temperature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465°C (869°F)</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Viscosity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0.32 cP at 20°C</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Not stated in the sourced records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pH.</w:t>
            </w:r>
          </w:p>
        </w:tc>
      </w:tr>
    </w:tbl>
    <w:p>
      <w:pPr>
        <w:keepNext/>
        <w:spacing w:after="60" w:before="120" w:line="300"/>
      </w:pPr>
      <w:r>
        <w:rPr>
          <w:rFonts w:ascii="Arial" w:cs="Arial" w:eastAsia="Arial" w:hAnsi="Arial"/>
          <w:b/>
          <w:bCs/>
          <w:color w:val="0B1B2B"/>
          <w:sz w:val="20"/>
          <w:szCs w:val="20"/>
        </w:rPr>
        <w:t xml:space="preserve">9.2 Other information</w:t>
      </w:r>
    </w:p>
    <w:p>
      <w:pPr>
        <w:pStyle w:val="ListParagraph"/>
        <w:numPr>
          <w:ilvl w:val="0"/>
          <w:numId w:val="1"/>
        </w:numPr>
        <w:spacing w:after="60" w:line="300"/>
      </w:pPr>
      <w:r>
        <w:rPr>
          <w:rFonts w:ascii="Arial" w:cs="Arial" w:eastAsia="Arial" w:hAnsi="Arial"/>
          <w:b/>
          <w:bCs/>
          <w:color w:val="0B1B2B"/>
          <w:sz w:val="20"/>
          <w:szCs w:val="20"/>
        </w:rPr>
        <w:t xml:space="preserve">Other information: </w:t>
      </w:r>
      <w:r>
        <w:rPr>
          <w:rFonts w:ascii="Arial" w:cs="Arial" w:eastAsia="Arial" w:hAnsi="Arial"/>
          <w:color w:val="0B1B2B"/>
          <w:sz w:val="20"/>
          <w:szCs w:val="20"/>
        </w:rPr>
        <w:t xml:space="preserve">Additional classification-supporting physical hazard data should be confirmed from the customer-specific product specification where required.</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10: Stability and Reactivity</w:t>
      </w:r>
    </w:p>
    <w:p>
      <w:pPr>
        <w:keepNext/>
        <w:spacing w:after="60" w:before="120" w:line="300"/>
      </w:pPr>
      <w:r>
        <w:rPr>
          <w:rFonts w:ascii="Arial" w:cs="Arial" w:eastAsia="Arial" w:hAnsi="Arial"/>
          <w:b/>
          <w:bCs/>
          <w:color w:val="0B1B2B"/>
          <w:sz w:val="20"/>
          <w:szCs w:val="20"/>
        </w:rPr>
        <w:t xml:space="preserve">10.1 Reactivity</w:t>
      </w:r>
    </w:p>
    <w:p>
      <w:pPr>
        <w:pStyle w:val="ListParagraph"/>
        <w:numPr>
          <w:ilvl w:val="0"/>
          <w:numId w:val="1"/>
        </w:numPr>
        <w:spacing w:after="60" w:line="300"/>
      </w:pPr>
      <w:r>
        <w:rPr>
          <w:rFonts w:ascii="Arial" w:cs="Arial" w:eastAsia="Arial" w:hAnsi="Arial"/>
          <w:b/>
          <w:bCs/>
          <w:color w:val="0B1B2B"/>
          <w:sz w:val="20"/>
          <w:szCs w:val="20"/>
        </w:rPr>
        <w:t xml:space="preserve">Reactivity: </w:t>
      </w:r>
      <w:r>
        <w:rPr>
          <w:rFonts w:ascii="Arial" w:cs="Arial" w:eastAsia="Arial" w:hAnsi="Arial"/>
          <w:color w:val="0B1B2B"/>
          <w:sz w:val="20"/>
          <w:szCs w:val="20"/>
        </w:rPr>
        <w:t xml:space="preserve">Flammable liquid and vapor.</w:t>
      </w:r>
    </w:p>
    <w:p>
      <w:pPr>
        <w:keepNext/>
        <w:spacing w:after="60" w:before="120" w:line="300"/>
      </w:pPr>
      <w:r>
        <w:rPr>
          <w:rFonts w:ascii="Arial" w:cs="Arial" w:eastAsia="Arial" w:hAnsi="Arial"/>
          <w:b/>
          <w:bCs/>
          <w:color w:val="0B1B2B"/>
          <w:sz w:val="20"/>
          <w:szCs w:val="20"/>
        </w:rPr>
        <w:t xml:space="preserve">10.2 Chemical stability</w:t>
      </w:r>
    </w:p>
    <w:p>
      <w:pPr>
        <w:pStyle w:val="ListParagraph"/>
        <w:numPr>
          <w:ilvl w:val="0"/>
          <w:numId w:val="1"/>
        </w:numPr>
        <w:spacing w:after="60" w:line="300"/>
      </w:pPr>
      <w:r>
        <w:rPr>
          <w:rFonts w:ascii="Arial" w:cs="Arial" w:eastAsia="Arial" w:hAnsi="Arial"/>
          <w:b/>
          <w:bCs/>
          <w:color w:val="0B1B2B"/>
          <w:sz w:val="20"/>
          <w:szCs w:val="20"/>
        </w:rPr>
        <w:t xml:space="preserve">Chemical stability: </w:t>
      </w:r>
      <w:r>
        <w:rPr>
          <w:rFonts w:ascii="Arial" w:cs="Arial" w:eastAsia="Arial" w:hAnsi="Arial"/>
          <w:color w:val="0B1B2B"/>
          <w:sz w:val="20"/>
          <w:szCs w:val="20"/>
        </w:rPr>
        <w:t xml:space="preserve">Stable under normal storage conditions.</w:t>
      </w:r>
    </w:p>
    <w:p>
      <w:pPr>
        <w:keepNext/>
        <w:spacing w:after="60" w:before="120" w:line="300"/>
      </w:pPr>
      <w:r>
        <w:rPr>
          <w:rFonts w:ascii="Arial" w:cs="Arial" w:eastAsia="Arial" w:hAnsi="Arial"/>
          <w:b/>
          <w:bCs/>
          <w:color w:val="0B1B2B"/>
          <w:sz w:val="20"/>
          <w:szCs w:val="20"/>
        </w:rPr>
        <w:t xml:space="preserve">10.3 Possibility of hazardous reactions</w:t>
      </w:r>
    </w:p>
    <w:p>
      <w:pPr>
        <w:pStyle w:val="ListParagraph"/>
        <w:numPr>
          <w:ilvl w:val="0"/>
          <w:numId w:val="1"/>
        </w:numPr>
        <w:spacing w:after="60" w:line="300"/>
      </w:pPr>
      <w:r>
        <w:rPr>
          <w:rFonts w:ascii="Arial" w:cs="Arial" w:eastAsia="Arial" w:hAnsi="Arial"/>
          <w:b/>
          <w:bCs/>
          <w:color w:val="0B1B2B"/>
          <w:sz w:val="20"/>
          <w:szCs w:val="20"/>
        </w:rPr>
        <w:t xml:space="preserve">Possibility of hazardous reactions: </w:t>
      </w:r>
      <w:r>
        <w:rPr>
          <w:rFonts w:ascii="Arial" w:cs="Arial" w:eastAsia="Arial" w:hAnsi="Arial"/>
          <w:color w:val="0B1B2B"/>
          <w:sz w:val="20"/>
          <w:szCs w:val="20"/>
        </w:rPr>
        <w:t xml:space="preserve">Vapors may form explosive mixtures with air.</w:t>
      </w:r>
    </w:p>
    <w:p>
      <w:pPr>
        <w:keepNext/>
        <w:spacing w:after="60" w:before="120" w:line="300"/>
      </w:pPr>
      <w:r>
        <w:rPr>
          <w:rFonts w:ascii="Arial" w:cs="Arial" w:eastAsia="Arial" w:hAnsi="Arial"/>
          <w:b/>
          <w:bCs/>
          <w:color w:val="0B1B2B"/>
          <w:sz w:val="20"/>
          <w:szCs w:val="20"/>
        </w:rPr>
        <w:t xml:space="preserve">10.4 Conditions to avoid</w:t>
      </w:r>
    </w:p>
    <w:p>
      <w:pPr>
        <w:pStyle w:val="ListParagraph"/>
        <w:numPr>
          <w:ilvl w:val="0"/>
          <w:numId w:val="1"/>
        </w:numPr>
        <w:spacing w:after="60" w:line="300"/>
      </w:pPr>
      <w:r>
        <w:rPr>
          <w:rFonts w:ascii="Arial" w:cs="Arial" w:eastAsia="Arial" w:hAnsi="Arial"/>
          <w:b/>
          <w:bCs/>
          <w:color w:val="0B1B2B"/>
          <w:sz w:val="20"/>
          <w:szCs w:val="20"/>
        </w:rPr>
        <w:t xml:space="preserve">Conditions to avoid: </w:t>
      </w:r>
      <w:r>
        <w:rPr>
          <w:rFonts w:ascii="Arial" w:cs="Arial" w:eastAsia="Arial" w:hAnsi="Arial"/>
          <w:color w:val="0B1B2B"/>
          <w:sz w:val="20"/>
          <w:szCs w:val="20"/>
        </w:rPr>
        <w:t xml:space="preserve">Heat, sparks, open flames, hot surfaces, static discharge, and incompatible materials.</w:t>
      </w:r>
    </w:p>
    <w:p>
      <w:pPr>
        <w:keepNext/>
        <w:spacing w:after="60" w:before="120" w:line="300"/>
      </w:pPr>
      <w:r>
        <w:rPr>
          <w:rFonts w:ascii="Arial" w:cs="Arial" w:eastAsia="Arial" w:hAnsi="Arial"/>
          <w:b/>
          <w:bCs/>
          <w:color w:val="0B1B2B"/>
          <w:sz w:val="20"/>
          <w:szCs w:val="20"/>
        </w:rPr>
        <w:t xml:space="preserve">10.5 Incompatible materials</w:t>
      </w:r>
    </w:p>
    <w:p>
      <w:pPr>
        <w:pStyle w:val="ListParagraph"/>
        <w:numPr>
          <w:ilvl w:val="0"/>
          <w:numId w:val="1"/>
        </w:numPr>
        <w:spacing w:after="60" w:line="300"/>
      </w:pPr>
      <w:r>
        <w:rPr>
          <w:rFonts w:ascii="Arial" w:cs="Arial" w:eastAsia="Arial" w:hAnsi="Arial"/>
          <w:b/>
          <w:bCs/>
          <w:color w:val="0B1B2B"/>
          <w:sz w:val="20"/>
          <w:szCs w:val="20"/>
        </w:rPr>
        <w:t xml:space="preserve">Incompatible materials: </w:t>
      </w:r>
      <w:r>
        <w:rPr>
          <w:rFonts w:ascii="Arial" w:cs="Arial" w:eastAsia="Arial" w:hAnsi="Arial"/>
          <w:color w:val="0B1B2B"/>
          <w:sz w:val="20"/>
          <w:szCs w:val="20"/>
        </w:rPr>
        <w:t xml:space="preserve">Strong oxidizing agents, strong bases, strong acids.</w:t>
      </w:r>
    </w:p>
    <w:p>
      <w:pPr>
        <w:keepNext/>
        <w:spacing w:after="60" w:before="120" w:line="300"/>
      </w:pPr>
      <w:r>
        <w:rPr>
          <w:rFonts w:ascii="Arial" w:cs="Arial" w:eastAsia="Arial" w:hAnsi="Arial"/>
          <w:b/>
          <w:bCs/>
          <w:color w:val="0B1B2B"/>
          <w:sz w:val="20"/>
          <w:szCs w:val="20"/>
        </w:rPr>
        <w:t xml:space="preserve">10.6 Hazardous decomposition products</w:t>
      </w:r>
    </w:p>
    <w:p>
      <w:pPr>
        <w:pStyle w:val="ListParagraph"/>
        <w:numPr>
          <w:ilvl w:val="0"/>
          <w:numId w:val="1"/>
        </w:numPr>
        <w:spacing w:after="60" w:line="300"/>
      </w:pPr>
      <w:r>
        <w:rPr>
          <w:rFonts w:ascii="Arial" w:cs="Arial" w:eastAsia="Arial" w:hAnsi="Arial"/>
          <w:b/>
          <w:bCs/>
          <w:color w:val="0B1B2B"/>
          <w:sz w:val="20"/>
          <w:szCs w:val="20"/>
        </w:rPr>
        <w:t xml:space="preserve">Hazardous decomposition products: </w:t>
      </w:r>
      <w:r>
        <w:rPr>
          <w:rFonts w:ascii="Arial" w:cs="Arial" w:eastAsia="Arial" w:hAnsi="Arial"/>
          <w:color w:val="0B1B2B"/>
          <w:sz w:val="20"/>
          <w:szCs w:val="20"/>
        </w:rPr>
        <w:t xml:space="preserve">Carbon monoxide, carbon dioxide.</w:t>
      </w:r>
    </w:p>
    <w:p>
      <w:pPr>
        <w:keepNext/>
        <w:spacing w:after="60" w:before="120" w:line="300"/>
      </w:pPr>
      <w:r>
        <w:rPr>
          <w:rFonts w:ascii="Arial" w:cs="Arial" w:eastAsia="Arial" w:hAnsi="Arial"/>
          <w:b/>
          <w:bCs/>
          <w:color w:val="0B1B2B"/>
          <w:sz w:val="20"/>
          <w:szCs w:val="20"/>
        </w:rPr>
        <w:t xml:space="preserve">10.7 Hazardous polymerization</w:t>
      </w:r>
    </w:p>
    <w:p>
      <w:pPr>
        <w:pStyle w:val="ListParagraph"/>
        <w:numPr>
          <w:ilvl w:val="0"/>
          <w:numId w:val="1"/>
        </w:numPr>
        <w:spacing w:after="60" w:line="300"/>
      </w:pPr>
      <w:r>
        <w:rPr>
          <w:rFonts w:ascii="Arial" w:cs="Arial" w:eastAsia="Arial" w:hAnsi="Arial"/>
          <w:b/>
          <w:bCs/>
          <w:color w:val="0B1B2B"/>
          <w:sz w:val="20"/>
          <w:szCs w:val="20"/>
        </w:rPr>
        <w:t xml:space="preserve">Hazardous polymerization: </w:t>
      </w:r>
      <w:r>
        <w:rPr>
          <w:rFonts w:ascii="Arial" w:cs="Arial" w:eastAsia="Arial" w:hAnsi="Arial"/>
          <w:color w:val="0B1B2B"/>
          <w:sz w:val="20"/>
          <w:szCs w:val="20"/>
        </w:rPr>
        <w:t xml:space="preserve">Will not occur.</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11: Toxicological Information</w:t>
      </w:r>
    </w:p>
    <w:p>
      <w:pPr>
        <w:keepNext/>
        <w:spacing w:after="60" w:before="120" w:line="300"/>
      </w:pPr>
      <w:r>
        <w:rPr>
          <w:rFonts w:ascii="Arial" w:cs="Arial" w:eastAsia="Arial" w:hAnsi="Arial"/>
          <w:b/>
          <w:bCs/>
          <w:color w:val="0B1B2B"/>
          <w:sz w:val="20"/>
          <w:szCs w:val="20"/>
        </w:rPr>
        <w:t xml:space="preserve">11.1 Information on toxicological effects</w:t>
      </w:r>
    </w:p>
    <w:p>
      <w:pPr>
        <w:spacing w:after="100" w:line="300"/>
      </w:pPr>
      <w:r>
        <w:rPr>
          <w:rFonts w:ascii="Arial" w:cs="Arial" w:eastAsia="Arial" w:hAnsi="Arial"/>
          <w:color w:val="0B1B2B"/>
          <w:sz w:val="20"/>
          <w:szCs w:val="20"/>
        </w:rPr>
        <w:t xml:space="preserve">11.1.1 Acute toxicity</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Property</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Details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LD50 (oral, rat)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5800 mg/kg bw (source: Hazardous Substances Data Bank (HSDB) - ACETONE)</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LD50 (dermal, rabbit/rat)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Based on available data, the classification criteria are not met.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LC50 (inhalation, rat)</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50,100 mg/m³/8 h (source: Haz-Map, Information on Hazardous Chemicals and Occupational Diseases - Acetone)</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Acute effects summary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The substance is irritating to the eyes and respiratory tract.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11.1.2 Skin corrosion/irritation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Mild skin irritant / defatting effect is described in PubChem narratives. A dry skin can be the result of dermal contact.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11.1.3 Serious eye damage/irritation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Classified for serious eye irritation (H319). Causes serious eye irritation.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11.1.4 Respiratory/skin sensitization</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Based on available data, the classification criteria are not met.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11.1.5 Germ cell mutagenicity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Acetone is not considered to be genotoxic or mutagenic.</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11.1.6 Carcinogenicity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Not classified; source records describe the substance as not classifiable as a human carcinogen.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11.1.7 Reproductive toxicity</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Females were reported to suffer menstrual irregularities. Reports of other reproductive effects of acetone include observations of testicular effects and changes of sperm quality in rats. Based on available data, the classification criteria are not met.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11.1.8 STOT - single exposure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Narcotic effects classification is present (H336). Eyes, skin, respiratory system, central nervous system</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11.1.9 STOT - repeated exposure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Systemically, acetone is moderately toxic to the liver and produces hematological effects. The renal toxicity may be due to the metabolite, formate, which is known to be nephrotoxic and is excreted by the kidneys. Based on available data, the classification criteria are not met.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11.1.10 Aspiration hazard</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Based on available data, the classification criteria are not met.</w:t>
            </w:r>
          </w:p>
        </w:tc>
      </w:tr>
    </w:tbl>
    <w:p>
      <w:pPr>
        <w:spacing w:after="100" w:line="300"/>
      </w:pPr>
      <w:r>
        <w:rPr>
          <w:rFonts w:ascii="Arial" w:cs="Arial" w:eastAsia="Arial" w:hAnsi="Arial"/>
          <w:color w:val="0B1B2B"/>
          <w:sz w:val="20"/>
          <w:szCs w:val="20"/>
        </w:rPr>
        <w:t xml:space="preserve">11.1.12 Symptoms related to the physical, chemical and toxicological characteristics: The substance is irritating to the eyes and respiratory tract. A dry skin can be the result of dermal contact. Inhalation or contact with material may irritate or burn skin and eyes.</w:t>
      </w:r>
    </w:p>
    <w:p>
      <w:pPr>
        <w:spacing w:after="100" w:line="300"/>
      </w:pPr>
      <w:r>
        <w:rPr>
          <w:rFonts w:ascii="Arial" w:cs="Arial" w:eastAsia="Arial" w:hAnsi="Arial"/>
          <w:color w:val="0B1B2B"/>
          <w:sz w:val="20"/>
          <w:szCs w:val="20"/>
        </w:rPr>
        <w:t xml:space="preserve">11.2.1 Endocrine disrupting properties: This draft does not automatically determine endocrine-disrupting properties for human health.</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12: Ecological Information</w:t>
      </w:r>
    </w:p>
    <w:p>
      <w:pPr>
        <w:keepNext/>
        <w:spacing w:after="60" w:before="120" w:line="300"/>
      </w:pPr>
      <w:r>
        <w:rPr>
          <w:rFonts w:ascii="Arial" w:cs="Arial" w:eastAsia="Arial" w:hAnsi="Arial"/>
          <w:b/>
          <w:bCs/>
          <w:color w:val="0B1B2B"/>
          <w:sz w:val="20"/>
          <w:szCs w:val="20"/>
        </w:rPr>
        <w:t xml:space="preserve">12.1 Toxicity</w:t>
      </w:r>
    </w:p>
    <w:p>
      <w:pPr>
        <w:spacing w:after="100" w:line="300"/>
      </w:pPr>
      <w:r>
        <w:rPr>
          <w:rFonts w:ascii="Arial" w:cs="Arial" w:eastAsia="Arial" w:hAnsi="Arial"/>
          <w:color w:val="0B1B2B"/>
          <w:sz w:val="20"/>
          <w:szCs w:val="20"/>
        </w:rPr>
        <w:t xml:space="preserve">LC50 (fish, /Oncorhynchus mykiss/ (Rainbow trout) weight 1.0 g, 96 h): 5540 mg/L (Source: PubChem / HSDB).</w:t>
      </w:r>
    </w:p>
    <w:p>
      <w:pPr>
        <w:spacing w:after="100" w:line="300"/>
      </w:pPr>
      <w:r>
        <w:rPr>
          <w:rFonts w:ascii="Arial" w:cs="Arial" w:eastAsia="Arial" w:hAnsi="Arial"/>
          <w:color w:val="0B1B2B"/>
          <w:sz w:val="20"/>
          <w:szCs w:val="20"/>
        </w:rPr>
        <w:t xml:space="preserve">EC50 (aquatic invertebrate, Artemia salina (Brine shrimp) 2-3 instar nauplii, 24 h): 14852000 µg/L (Source: PubChem / HSDB).</w:t>
      </w:r>
    </w:p>
    <w:p>
      <w:pPr>
        <w:keepNext/>
        <w:spacing w:after="60" w:before="120" w:line="300"/>
      </w:pPr>
      <w:r>
        <w:rPr>
          <w:rFonts w:ascii="Arial" w:cs="Arial" w:eastAsia="Arial" w:hAnsi="Arial"/>
          <w:b/>
          <w:bCs/>
          <w:color w:val="0B1B2B"/>
          <w:sz w:val="20"/>
          <w:szCs w:val="20"/>
        </w:rPr>
        <w:t xml:space="preserve">12.2 Persistence and degradability</w:t>
      </w:r>
    </w:p>
    <w:p>
      <w:pPr>
        <w:pStyle w:val="ListParagraph"/>
        <w:numPr>
          <w:ilvl w:val="0"/>
          <w:numId w:val="1"/>
        </w:numPr>
        <w:spacing w:after="60" w:line="300"/>
      </w:pPr>
      <w:r>
        <w:rPr>
          <w:rFonts w:ascii="Arial" w:cs="Arial" w:eastAsia="Arial" w:hAnsi="Arial"/>
          <w:b/>
          <w:bCs/>
          <w:color w:val="0B1B2B"/>
          <w:sz w:val="20"/>
          <w:szCs w:val="20"/>
        </w:rPr>
        <w:t xml:space="preserve">Persistence and degradability: </w:t>
      </w:r>
      <w:r>
        <w:rPr>
          <w:rFonts w:ascii="Arial" w:cs="Arial" w:eastAsia="Arial" w:hAnsi="Arial"/>
          <w:color w:val="0B1B2B"/>
          <w:sz w:val="20"/>
          <w:szCs w:val="20"/>
        </w:rPr>
        <w:t xml:space="preserve">Readily biodegradable; reported BOD5/COD ratio exceeds 0.6 and ready-biodegradability screening data classify acetone as readily biodegradable.</w:t>
      </w:r>
    </w:p>
    <w:p>
      <w:pPr>
        <w:keepNext/>
        <w:spacing w:after="60" w:before="120" w:line="300"/>
      </w:pPr>
      <w:r>
        <w:rPr>
          <w:rFonts w:ascii="Arial" w:cs="Arial" w:eastAsia="Arial" w:hAnsi="Arial"/>
          <w:b/>
          <w:bCs/>
          <w:color w:val="0B1B2B"/>
          <w:sz w:val="20"/>
          <w:szCs w:val="20"/>
        </w:rPr>
        <w:t xml:space="preserve">12.3 Bioaccumulative potential</w:t>
      </w:r>
    </w:p>
    <w:p>
      <w:pPr>
        <w:pStyle w:val="ListParagraph"/>
        <w:numPr>
          <w:ilvl w:val="0"/>
          <w:numId w:val="1"/>
        </w:numPr>
        <w:spacing w:after="60" w:line="300"/>
      </w:pPr>
      <w:r>
        <w:rPr>
          <w:rFonts w:ascii="Arial" w:cs="Arial" w:eastAsia="Arial" w:hAnsi="Arial"/>
          <w:b/>
          <w:bCs/>
          <w:color w:val="0B1B2B"/>
          <w:sz w:val="20"/>
          <w:szCs w:val="20"/>
        </w:rPr>
        <w:t xml:space="preserve">Log Kow: </w:t>
      </w:r>
      <w:r>
        <w:rPr>
          <w:rFonts w:ascii="Arial" w:cs="Arial" w:eastAsia="Arial" w:hAnsi="Arial"/>
          <w:color w:val="0B1B2B"/>
          <w:sz w:val="20"/>
          <w:szCs w:val="20"/>
        </w:rPr>
        <w:t xml:space="preserve">-0.24.</w:t>
      </w:r>
    </w:p>
    <w:p>
      <w:pPr>
        <w:pStyle w:val="ListParagraph"/>
        <w:numPr>
          <w:ilvl w:val="0"/>
          <w:numId w:val="1"/>
        </w:numPr>
        <w:spacing w:after="60" w:line="300"/>
      </w:pPr>
      <w:r>
        <w:rPr>
          <w:rFonts w:ascii="Arial" w:cs="Arial" w:eastAsia="Arial" w:hAnsi="Arial"/>
          <w:b/>
          <w:bCs/>
          <w:color w:val="0B1B2B"/>
          <w:sz w:val="20"/>
          <w:szCs w:val="20"/>
        </w:rPr>
        <w:t xml:space="preserve">Bioaccumulative potential: </w:t>
      </w:r>
      <w:r>
        <w:rPr>
          <w:rFonts w:ascii="Arial" w:cs="Arial" w:eastAsia="Arial" w:hAnsi="Arial"/>
          <w:color w:val="0B1B2B"/>
          <w:sz w:val="20"/>
          <w:szCs w:val="20"/>
        </w:rPr>
        <w:t xml:space="preserve">Low; acetone is not expected to bioaccumulate (estimated BCF 3).</w:t>
      </w:r>
    </w:p>
    <w:p>
      <w:pPr>
        <w:keepNext/>
        <w:spacing w:after="60" w:before="120" w:line="300"/>
      </w:pPr>
      <w:r>
        <w:rPr>
          <w:rFonts w:ascii="Arial" w:cs="Arial" w:eastAsia="Arial" w:hAnsi="Arial"/>
          <w:b/>
          <w:bCs/>
          <w:color w:val="0B1B2B"/>
          <w:sz w:val="20"/>
          <w:szCs w:val="20"/>
        </w:rPr>
        <w:t xml:space="preserve">12.4 Mobility in soil</w:t>
      </w:r>
    </w:p>
    <w:p>
      <w:pPr>
        <w:pStyle w:val="ListParagraph"/>
        <w:numPr>
          <w:ilvl w:val="0"/>
          <w:numId w:val="1"/>
        </w:numPr>
        <w:spacing w:after="60" w:line="300"/>
      </w:pPr>
      <w:r>
        <w:rPr>
          <w:rFonts w:ascii="Arial" w:cs="Arial" w:eastAsia="Arial" w:hAnsi="Arial"/>
          <w:b/>
          <w:bCs/>
          <w:color w:val="0B1B2B"/>
          <w:sz w:val="20"/>
          <w:szCs w:val="20"/>
        </w:rPr>
        <w:t xml:space="preserve">Mobility in soil: </w:t>
      </w:r>
      <w:r>
        <w:rPr>
          <w:rFonts w:ascii="Arial" w:cs="Arial" w:eastAsia="Arial" w:hAnsi="Arial"/>
          <w:color w:val="0B1B2B"/>
          <w:sz w:val="20"/>
          <w:szCs w:val="20"/>
        </w:rPr>
        <w:t xml:space="preserve">Very high mobility in soil; estimated Koc 2.4.</w:t>
      </w:r>
    </w:p>
    <w:p>
      <w:pPr>
        <w:keepNext/>
        <w:spacing w:after="60" w:before="120" w:line="300"/>
      </w:pPr>
      <w:r>
        <w:rPr>
          <w:rFonts w:ascii="Arial" w:cs="Arial" w:eastAsia="Arial" w:hAnsi="Arial"/>
          <w:b/>
          <w:bCs/>
          <w:color w:val="0B1B2B"/>
          <w:sz w:val="20"/>
          <w:szCs w:val="20"/>
        </w:rPr>
        <w:t xml:space="preserve">12.5 Results of PBT and vPvB assessment</w:t>
      </w:r>
    </w:p>
    <w:p>
      <w:pPr>
        <w:pStyle w:val="ListParagraph"/>
        <w:numPr>
          <w:ilvl w:val="0"/>
          <w:numId w:val="1"/>
        </w:numPr>
        <w:spacing w:after="60" w:line="300"/>
      </w:pPr>
      <w:r>
        <w:rPr>
          <w:rFonts w:ascii="Arial" w:cs="Arial" w:eastAsia="Arial" w:hAnsi="Arial"/>
          <w:b/>
          <w:bCs/>
          <w:color w:val="0B1B2B"/>
          <w:sz w:val="20"/>
          <w:szCs w:val="20"/>
        </w:rPr>
        <w:t xml:space="preserve">PBT/vPvB assessment: </w:t>
      </w:r>
      <w:r>
        <w:rPr>
          <w:rFonts w:ascii="Arial" w:cs="Arial" w:eastAsia="Arial" w:hAnsi="Arial"/>
          <w:color w:val="0B1B2B"/>
          <w:sz w:val="20"/>
          <w:szCs w:val="20"/>
        </w:rPr>
        <w:t xml:space="preserve">Acetone is not expected to meet PBT or vPvB criteria because it is readily biodegradable and has a low partition coefficient.</w:t>
      </w:r>
    </w:p>
    <w:p>
      <w:pPr>
        <w:keepNext/>
        <w:spacing w:after="60" w:before="120" w:line="300"/>
      </w:pPr>
      <w:r>
        <w:rPr>
          <w:rFonts w:ascii="Arial" w:cs="Arial" w:eastAsia="Arial" w:hAnsi="Arial"/>
          <w:b/>
          <w:bCs/>
          <w:color w:val="0B1B2B"/>
          <w:sz w:val="20"/>
          <w:szCs w:val="20"/>
        </w:rPr>
        <w:t xml:space="preserve">12.6 Endocrine disrupting properties</w:t>
      </w:r>
    </w:p>
    <w:p>
      <w:pPr>
        <w:pStyle w:val="ListParagraph"/>
        <w:numPr>
          <w:ilvl w:val="0"/>
          <w:numId w:val="1"/>
        </w:numPr>
        <w:spacing w:after="60" w:line="300"/>
      </w:pPr>
      <w:r>
        <w:rPr>
          <w:rFonts w:ascii="Arial" w:cs="Arial" w:eastAsia="Arial" w:hAnsi="Arial"/>
          <w:b/>
          <w:bCs/>
          <w:color w:val="0B1B2B"/>
          <w:sz w:val="20"/>
          <w:szCs w:val="20"/>
        </w:rPr>
        <w:t xml:space="preserve">Endocrine disrupting properties: </w:t>
      </w:r>
      <w:r>
        <w:rPr>
          <w:rFonts w:ascii="Arial" w:cs="Arial" w:eastAsia="Arial" w:hAnsi="Arial"/>
          <w:color w:val="0B1B2B"/>
          <w:sz w:val="20"/>
          <w:szCs w:val="20"/>
        </w:rPr>
        <w:t xml:space="preserve">Not determined. No environmental endocrine-disruptor assessment is available for this product.</w:t>
      </w:r>
    </w:p>
    <w:p>
      <w:pPr>
        <w:keepNext/>
        <w:spacing w:after="60" w:before="120" w:line="300"/>
      </w:pPr>
      <w:r>
        <w:rPr>
          <w:rFonts w:ascii="Arial" w:cs="Arial" w:eastAsia="Arial" w:hAnsi="Arial"/>
          <w:b/>
          <w:bCs/>
          <w:color w:val="0B1B2B"/>
          <w:sz w:val="20"/>
          <w:szCs w:val="20"/>
        </w:rPr>
        <w:t xml:space="preserve">12.7 Other adverse effects</w:t>
      </w:r>
    </w:p>
    <w:p>
      <w:pPr>
        <w:pStyle w:val="ListParagraph"/>
        <w:numPr>
          <w:ilvl w:val="0"/>
          <w:numId w:val="1"/>
        </w:numPr>
        <w:spacing w:after="60" w:line="300"/>
      </w:pPr>
      <w:r>
        <w:rPr>
          <w:rFonts w:ascii="Arial" w:cs="Arial" w:eastAsia="Arial" w:hAnsi="Arial"/>
          <w:b/>
          <w:bCs/>
          <w:color w:val="0B1B2B"/>
          <w:sz w:val="20"/>
          <w:szCs w:val="20"/>
        </w:rPr>
        <w:t xml:space="preserve">Other adverse effects: </w:t>
      </w:r>
      <w:r>
        <w:rPr>
          <w:rFonts w:ascii="Arial" w:cs="Arial" w:eastAsia="Arial" w:hAnsi="Arial"/>
          <w:color w:val="0B1B2B"/>
          <w:sz w:val="20"/>
          <w:szCs w:val="20"/>
        </w:rPr>
        <w:t xml:space="preserve">Low environmental hazard. Not classified as hazardous to the aquatic environment under GHS and not identified as a marine pollutant.</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13: Disposal Considerations</w:t>
      </w:r>
    </w:p>
    <w:p>
      <w:pPr>
        <w:keepNext/>
        <w:spacing w:after="60" w:before="120" w:line="300"/>
      </w:pPr>
      <w:r>
        <w:rPr>
          <w:rFonts w:ascii="Arial" w:cs="Arial" w:eastAsia="Arial" w:hAnsi="Arial"/>
          <w:b/>
          <w:bCs/>
          <w:color w:val="0B1B2B"/>
          <w:sz w:val="20"/>
          <w:szCs w:val="20"/>
        </w:rPr>
        <w:t xml:space="preserve">13.1 Waste treatment methods</w:t>
      </w:r>
    </w:p>
    <w:p>
      <w:pPr>
        <w:pStyle w:val="ListParagraph"/>
        <w:numPr>
          <w:ilvl w:val="0"/>
          <w:numId w:val="1"/>
        </w:numPr>
        <w:spacing w:after="60" w:line="300"/>
      </w:pPr>
      <w:r>
        <w:rPr>
          <w:rFonts w:ascii="Arial" w:cs="Arial" w:eastAsia="Arial" w:hAnsi="Arial"/>
          <w:b/>
          <w:bCs/>
          <w:color w:val="0B1B2B"/>
          <w:sz w:val="20"/>
          <w:szCs w:val="20"/>
        </w:rPr>
        <w:t xml:space="preserve">Waste treatment methods: </w:t>
      </w:r>
      <w:r>
        <w:rPr>
          <w:rFonts w:ascii="Arial" w:cs="Arial" w:eastAsia="Arial" w:hAnsi="Arial"/>
          <w:color w:val="0B1B2B"/>
          <w:sz w:val="20"/>
          <w:szCs w:val="20"/>
        </w:rPr>
        <w:t xml:space="preserve">Collect acetone residues, rinsates, and contaminated absorbents in closed grounded compatible containers as flammable liquid waste and send them through a licensed hazardous-waste contractor for incineration in a permitted facility or approved solvent recovery where allowed. Do not discharge to sewers, drains, soil, or watercourses.</w:t>
      </w:r>
    </w:p>
    <w:p>
      <w:pPr>
        <w:pStyle w:val="ListParagraph"/>
        <w:numPr>
          <w:ilvl w:val="0"/>
          <w:numId w:val="1"/>
        </w:numPr>
        <w:spacing w:after="60" w:line="300"/>
      </w:pPr>
      <w:r>
        <w:rPr>
          <w:rFonts w:ascii="Arial" w:cs="Arial" w:eastAsia="Arial" w:hAnsi="Arial"/>
          <w:b/>
          <w:bCs/>
          <w:color w:val="0B1B2B"/>
          <w:sz w:val="20"/>
          <w:szCs w:val="20"/>
        </w:rPr>
        <w:t xml:space="preserve">Hazardous waste classification: </w:t>
      </w:r>
      <w:r>
        <w:rPr>
          <w:rFonts w:ascii="Arial" w:cs="Arial" w:eastAsia="Arial" w:hAnsi="Arial"/>
          <w:color w:val="0B1B2B"/>
          <w:sz w:val="20"/>
          <w:szCs w:val="20"/>
        </w:rPr>
        <w:t xml:space="preserve">Evaluate the waste stream under applicable EPA/RCRA rules; acetone waste commonly carries the ignitable characteristic (D001), and spent-solvent listings may apply depending on how the material was used. Assign the applicable EU List of Waste code based on the process and contaminants.</w:t>
      </w:r>
    </w:p>
    <w:p>
      <w:pPr>
        <w:pStyle w:val="ListParagraph"/>
        <w:numPr>
          <w:ilvl w:val="0"/>
          <w:numId w:val="1"/>
        </w:numPr>
        <w:spacing w:after="60" w:line="300"/>
      </w:pPr>
      <w:r>
        <w:rPr>
          <w:rFonts w:ascii="Arial" w:cs="Arial" w:eastAsia="Arial" w:hAnsi="Arial"/>
          <w:b/>
          <w:bCs/>
          <w:color w:val="0B1B2B"/>
          <w:sz w:val="20"/>
          <w:szCs w:val="20"/>
        </w:rPr>
        <w:t xml:space="preserve">Local regulations: </w:t>
      </w:r>
      <w:r>
        <w:rPr>
          <w:rFonts w:ascii="Arial" w:cs="Arial" w:eastAsia="Arial" w:hAnsi="Arial"/>
          <w:color w:val="0B1B2B"/>
          <w:sz w:val="20"/>
          <w:szCs w:val="20"/>
        </w:rPr>
        <w:t xml:space="preserve">Dispose in accordance with federal, state, local, and international hazardous-waste regulations.</w:t>
      </w:r>
    </w:p>
    <w:p>
      <w:pPr>
        <w:pStyle w:val="ListParagraph"/>
        <w:numPr>
          <w:ilvl w:val="0"/>
          <w:numId w:val="1"/>
        </w:numPr>
        <w:spacing w:after="60" w:line="300"/>
      </w:pPr>
      <w:r>
        <w:rPr>
          <w:rFonts w:ascii="Arial" w:cs="Arial" w:eastAsia="Arial" w:hAnsi="Arial"/>
          <w:b/>
          <w:bCs/>
          <w:color w:val="0B1B2B"/>
          <w:sz w:val="20"/>
          <w:szCs w:val="20"/>
        </w:rPr>
        <w:t xml:space="preserve">Packaging: </w:t>
      </w:r>
      <w:r>
        <w:rPr>
          <w:rFonts w:ascii="Arial" w:cs="Arial" w:eastAsia="Arial" w:hAnsi="Arial"/>
          <w:color w:val="0B1B2B"/>
          <w:sz w:val="20"/>
          <w:szCs w:val="20"/>
        </w:rPr>
        <w:t xml:space="preserve">Empty containers can retain flammable vapor and liquid residue; do not cut, weld, or reuse them until they have been properly cleaned or managed by an approved hazardous-waste handler.</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14: Transport Information</w:t>
      </w:r>
    </w:p>
    <w:p>
      <w:pPr>
        <w:keepNext/>
        <w:spacing w:after="60" w:before="120" w:line="300"/>
      </w:pPr>
      <w:r>
        <w:rPr>
          <w:rFonts w:ascii="Arial" w:cs="Arial" w:eastAsia="Arial" w:hAnsi="Arial"/>
          <w:b/>
          <w:bCs/>
          <w:color w:val="0B1B2B"/>
          <w:sz w:val="20"/>
          <w:szCs w:val="20"/>
        </w:rPr>
        <w:t xml:space="preserve">14.1 UN number</w:t>
      </w:r>
    </w:p>
    <w:p>
      <w:pPr>
        <w:pStyle w:val="ListParagraph"/>
        <w:numPr>
          <w:ilvl w:val="0"/>
          <w:numId w:val="1"/>
        </w:numPr>
        <w:spacing w:after="60" w:line="300"/>
      </w:pPr>
      <w:r>
        <w:rPr>
          <w:rFonts w:ascii="Arial" w:cs="Arial" w:eastAsia="Arial" w:hAnsi="Arial"/>
          <w:b/>
          <w:bCs/>
          <w:color w:val="0B1B2B"/>
          <w:sz w:val="20"/>
          <w:szCs w:val="20"/>
        </w:rPr>
        <w:t xml:space="preserve">UN number: </w:t>
      </w:r>
      <w:r>
        <w:rPr>
          <w:rFonts w:ascii="Arial" w:cs="Arial" w:eastAsia="Arial" w:hAnsi="Arial"/>
          <w:color w:val="0B1B2B"/>
          <w:sz w:val="20"/>
          <w:szCs w:val="20"/>
        </w:rPr>
        <w:t xml:space="preserve">UN 1090</w:t>
      </w:r>
    </w:p>
    <w:p>
      <w:pPr>
        <w:keepNext/>
        <w:spacing w:after="60" w:before="120" w:line="300"/>
      </w:pPr>
      <w:r>
        <w:rPr>
          <w:rFonts w:ascii="Arial" w:cs="Arial" w:eastAsia="Arial" w:hAnsi="Arial"/>
          <w:b/>
          <w:bCs/>
          <w:color w:val="0B1B2B"/>
          <w:sz w:val="20"/>
          <w:szCs w:val="20"/>
        </w:rPr>
        <w:t xml:space="preserve">14.2 UN proper shipping name</w:t>
      </w:r>
    </w:p>
    <w:p>
      <w:pPr>
        <w:pStyle w:val="ListParagraph"/>
        <w:numPr>
          <w:ilvl w:val="0"/>
          <w:numId w:val="1"/>
        </w:numPr>
        <w:spacing w:after="60" w:line="300"/>
      </w:pPr>
      <w:r>
        <w:rPr>
          <w:rFonts w:ascii="Arial" w:cs="Arial" w:eastAsia="Arial" w:hAnsi="Arial"/>
          <w:b/>
          <w:bCs/>
          <w:color w:val="0B1B2B"/>
          <w:sz w:val="20"/>
          <w:szCs w:val="20"/>
        </w:rPr>
        <w:t xml:space="preserve">UN proper shipping name: </w:t>
      </w:r>
      <w:r>
        <w:rPr>
          <w:rFonts w:ascii="Arial" w:cs="Arial" w:eastAsia="Arial" w:hAnsi="Arial"/>
          <w:color w:val="0B1B2B"/>
          <w:sz w:val="20"/>
          <w:szCs w:val="20"/>
        </w:rPr>
        <w:t xml:space="preserve">ACETONE</w:t>
      </w:r>
    </w:p>
    <w:p>
      <w:pPr>
        <w:keepNext/>
        <w:spacing w:after="60" w:before="120" w:line="300"/>
      </w:pPr>
      <w:r>
        <w:rPr>
          <w:rFonts w:ascii="Arial" w:cs="Arial" w:eastAsia="Arial" w:hAnsi="Arial"/>
          <w:b/>
          <w:bCs/>
          <w:color w:val="0B1B2B"/>
          <w:sz w:val="20"/>
          <w:szCs w:val="20"/>
        </w:rPr>
        <w:t xml:space="preserve">14.3 Transport hazard class(es)</w:t>
      </w:r>
    </w:p>
    <w:p>
      <w:pPr>
        <w:pStyle w:val="ListParagraph"/>
        <w:numPr>
          <w:ilvl w:val="0"/>
          <w:numId w:val="1"/>
        </w:numPr>
        <w:spacing w:after="60" w:line="300"/>
      </w:pPr>
      <w:r>
        <w:rPr>
          <w:rFonts w:ascii="Arial" w:cs="Arial" w:eastAsia="Arial" w:hAnsi="Arial"/>
          <w:b/>
          <w:bCs/>
          <w:color w:val="0B1B2B"/>
          <w:sz w:val="20"/>
          <w:szCs w:val="20"/>
        </w:rPr>
        <w:t xml:space="preserve">Transport hazard class(es): </w:t>
      </w:r>
      <w:r>
        <w:rPr>
          <w:rFonts w:ascii="Arial" w:cs="Arial" w:eastAsia="Arial" w:hAnsi="Arial"/>
          <w:color w:val="0B1B2B"/>
          <w:sz w:val="20"/>
          <w:szCs w:val="20"/>
        </w:rPr>
        <w:t xml:space="preserve">Class 3 (Flammable liquids)</w:t>
      </w:r>
    </w:p>
    <w:p>
      <w:pPr>
        <w:pStyle w:val="ListParagraph"/>
        <w:numPr>
          <w:ilvl w:val="0"/>
          <w:numId w:val="1"/>
        </w:numPr>
        <w:spacing w:after="60" w:line="300"/>
      </w:pPr>
      <w:r>
        <w:rPr>
          <w:rFonts w:ascii="Arial" w:cs="Arial" w:eastAsia="Arial" w:hAnsi="Arial"/>
          <w:b/>
          <w:bCs/>
          <w:color w:val="0B1B2B"/>
          <w:sz w:val="20"/>
          <w:szCs w:val="20"/>
        </w:rPr>
        <w:t xml:space="preserve">Transport label(s): </w:t>
      </w:r>
      <w:r>
        <w:rPr>
          <w:rFonts w:ascii="Arial" w:cs="Arial" w:eastAsia="Arial" w:hAnsi="Arial"/>
          <w:color w:val="0B1B2B"/>
          <w:sz w:val="20"/>
          <w:szCs w:val="20"/>
        </w:rPr>
        <w:t xml:space="preserve">3</w:t>
      </w:r>
    </w:p>
    <w:p>
      <w:pPr>
        <w:keepNext/>
        <w:spacing w:after="60" w:before="120" w:line="300"/>
      </w:pPr>
      <w:r>
        <w:rPr>
          <w:rFonts w:ascii="Arial" w:cs="Arial" w:eastAsia="Arial" w:hAnsi="Arial"/>
          <w:b/>
          <w:bCs/>
          <w:color w:val="0B1B2B"/>
          <w:sz w:val="20"/>
          <w:szCs w:val="20"/>
        </w:rPr>
        <w:t xml:space="preserve">14.4 Packing group</w:t>
      </w:r>
    </w:p>
    <w:p>
      <w:pPr>
        <w:pStyle w:val="ListParagraph"/>
        <w:numPr>
          <w:ilvl w:val="0"/>
          <w:numId w:val="1"/>
        </w:numPr>
        <w:spacing w:after="60" w:line="300"/>
      </w:pPr>
      <w:r>
        <w:rPr>
          <w:rFonts w:ascii="Arial" w:cs="Arial" w:eastAsia="Arial" w:hAnsi="Arial"/>
          <w:b/>
          <w:bCs/>
          <w:color w:val="0B1B2B"/>
          <w:sz w:val="20"/>
          <w:szCs w:val="20"/>
        </w:rPr>
        <w:t xml:space="preserve">Packing Group: </w:t>
      </w:r>
      <w:r>
        <w:rPr>
          <w:rFonts w:ascii="Arial" w:cs="Arial" w:eastAsia="Arial" w:hAnsi="Arial"/>
          <w:color w:val="0B1B2B"/>
          <w:sz w:val="20"/>
          <w:szCs w:val="20"/>
        </w:rPr>
        <w:t xml:space="preserve">II</w:t>
      </w:r>
    </w:p>
    <w:p>
      <w:pPr>
        <w:keepNext/>
        <w:spacing w:after="60" w:before="120" w:line="300"/>
      </w:pPr>
      <w:r>
        <w:rPr>
          <w:rFonts w:ascii="Arial" w:cs="Arial" w:eastAsia="Arial" w:hAnsi="Arial"/>
          <w:b/>
          <w:bCs/>
          <w:color w:val="0B1B2B"/>
          <w:sz w:val="20"/>
          <w:szCs w:val="20"/>
        </w:rPr>
        <w:t xml:space="preserve">14.5 Environmental hazards</w:t>
      </w:r>
    </w:p>
    <w:p>
      <w:pPr>
        <w:pStyle w:val="ListParagraph"/>
        <w:numPr>
          <w:ilvl w:val="0"/>
          <w:numId w:val="1"/>
        </w:numPr>
        <w:spacing w:after="60" w:line="300"/>
      </w:pPr>
      <w:r>
        <w:rPr>
          <w:rFonts w:ascii="Arial" w:cs="Arial" w:eastAsia="Arial" w:hAnsi="Arial"/>
          <w:b/>
          <w:bCs/>
          <w:color w:val="0B1B2B"/>
          <w:sz w:val="20"/>
          <w:szCs w:val="20"/>
        </w:rPr>
        <w:t xml:space="preserve">Marine pollutant: </w:t>
      </w:r>
      <w:r>
        <w:rPr>
          <w:rFonts w:ascii="Arial" w:cs="Arial" w:eastAsia="Arial" w:hAnsi="Arial"/>
          <w:color w:val="0B1B2B"/>
          <w:sz w:val="20"/>
          <w:szCs w:val="20"/>
        </w:rPr>
        <w:t xml:space="preserve">not listed in Appendix B to 49 CFR 172.101, edition 2026-01-01 under the names checked. A mixture can still be a marine pollutant on the strength of its components.</w:t>
      </w:r>
    </w:p>
    <w:p>
      <w:pPr>
        <w:pStyle w:val="ListParagraph"/>
        <w:numPr>
          <w:ilvl w:val="0"/>
          <w:numId w:val="1"/>
        </w:numPr>
        <w:spacing w:after="60" w:line="300"/>
      </w:pPr>
      <w:r>
        <w:rPr>
          <w:rFonts w:ascii="Arial" w:cs="Arial" w:eastAsia="Arial" w:hAnsi="Arial"/>
          <w:b/>
          <w:bCs/>
          <w:color w:val="0B1B2B"/>
          <w:sz w:val="20"/>
          <w:szCs w:val="20"/>
        </w:rPr>
        <w:t xml:space="preserve">Reportable quantity: </w:t>
      </w:r>
      <w:r>
        <w:rPr>
          <w:rFonts w:ascii="Arial" w:cs="Arial" w:eastAsia="Arial" w:hAnsi="Arial"/>
          <w:color w:val="0B1B2B"/>
          <w:sz w:val="20"/>
          <w:szCs w:val="20"/>
        </w:rPr>
        <w:t xml:space="preserve">5000 lb (2270 kg) as a CERCLA hazardous substance in Table 1 to Appendix A to 49 CFR 172.101, edition 2026-01-01. A package containing that quantity or more must carry "RQ" in the shipping description.</w:t>
      </w:r>
    </w:p>
    <w:p>
      <w:pPr>
        <w:keepNext/>
        <w:spacing w:after="60" w:before="120" w:line="300"/>
      </w:pPr>
      <w:r>
        <w:rPr>
          <w:rFonts w:ascii="Arial" w:cs="Arial" w:eastAsia="Arial" w:hAnsi="Arial"/>
          <w:b/>
          <w:bCs/>
          <w:color w:val="0B1B2B"/>
          <w:sz w:val="20"/>
          <w:szCs w:val="20"/>
        </w:rPr>
        <w:t xml:space="preserve">14.6 Special precautions for user</w:t>
      </w:r>
    </w:p>
    <w:p>
      <w:pPr>
        <w:pStyle w:val="ListParagraph"/>
        <w:numPr>
          <w:ilvl w:val="0"/>
          <w:numId w:val="1"/>
        </w:numPr>
        <w:spacing w:after="60" w:line="300"/>
      </w:pPr>
      <w:r>
        <w:rPr>
          <w:rFonts w:ascii="Arial" w:cs="Arial" w:eastAsia="Arial" w:hAnsi="Arial"/>
          <w:b/>
          <w:bCs/>
          <w:color w:val="0B1B2B"/>
          <w:sz w:val="20"/>
          <w:szCs w:val="20"/>
        </w:rPr>
        <w:t xml:space="preserve">Special precautions for user: </w:t>
      </w:r>
      <w:r>
        <w:rPr>
          <w:rFonts w:ascii="Arial" w:cs="Arial" w:eastAsia="Arial" w:hAnsi="Arial"/>
          <w:color w:val="0B1B2B"/>
          <w:sz w:val="20"/>
          <w:szCs w:val="20"/>
        </w:rPr>
        <w:t xml:space="preserve">Keep away from heat, sparks, open flames, and hot surfaces. Use bonded and grounded transfer equipment during shipment.</w:t>
      </w:r>
    </w:p>
    <w:p>
      <w:pPr>
        <w:pStyle w:val="ListParagraph"/>
        <w:numPr>
          <w:ilvl w:val="0"/>
          <w:numId w:val="1"/>
        </w:numPr>
        <w:spacing w:after="60" w:line="300"/>
      </w:pPr>
      <w:r>
        <w:rPr>
          <w:rFonts w:ascii="Arial" w:cs="Arial" w:eastAsia="Arial" w:hAnsi="Arial"/>
          <w:b/>
          <w:bCs/>
          <w:color w:val="0B1B2B"/>
          <w:sz w:val="20"/>
          <w:szCs w:val="20"/>
        </w:rPr>
        <w:t xml:space="preserve">Mode confirmation: </w:t>
      </w:r>
      <w:r>
        <w:rPr>
          <w:rFonts w:ascii="Arial" w:cs="Arial" w:eastAsia="Arial" w:hAnsi="Arial"/>
          <w:color w:val="0B1B2B"/>
          <w:sz w:val="20"/>
          <w:szCs w:val="20"/>
        </w:rPr>
        <w:t xml:space="preserve">IMDG: UN 1090, ACETONE, Class 3, Packing Group II.</w:t>
      </w:r>
    </w:p>
    <w:p>
      <w:pPr>
        <w:pStyle w:val="ListParagraph"/>
        <w:numPr>
          <w:ilvl w:val="0"/>
          <w:numId w:val="1"/>
        </w:numPr>
        <w:spacing w:after="60" w:line="300"/>
      </w:pPr>
      <w:r>
        <w:rPr>
          <w:rFonts w:ascii="Arial" w:cs="Arial" w:eastAsia="Arial" w:hAnsi="Arial"/>
          <w:b/>
          <w:bCs/>
          <w:color w:val="0B1B2B"/>
          <w:sz w:val="20"/>
          <w:szCs w:val="20"/>
        </w:rPr>
        <w:t xml:space="preserve">Mode confirmation: </w:t>
      </w:r>
      <w:r>
        <w:rPr>
          <w:rFonts w:ascii="Arial" w:cs="Arial" w:eastAsia="Arial" w:hAnsi="Arial"/>
          <w:color w:val="0B1B2B"/>
          <w:sz w:val="20"/>
          <w:szCs w:val="20"/>
        </w:rPr>
        <w:t xml:space="preserve">IATA: UN 1090, ACETONE, Class 3, Packing Group II.</w:t>
      </w:r>
    </w:p>
    <w:p>
      <w:pPr>
        <w:keepNext/>
        <w:spacing w:after="60" w:before="120" w:line="300"/>
      </w:pPr>
      <w:r>
        <w:rPr>
          <w:rFonts w:ascii="Arial" w:cs="Arial" w:eastAsia="Arial" w:hAnsi="Arial"/>
          <w:b/>
          <w:bCs/>
          <w:color w:val="0B1B2B"/>
          <w:sz w:val="20"/>
          <w:szCs w:val="20"/>
        </w:rPr>
        <w:t xml:space="preserve">14.7 Transport in bulk according to IMO instruments</w:t>
      </w:r>
    </w:p>
    <w:p>
      <w:pPr>
        <w:pStyle w:val="ListParagraph"/>
        <w:numPr>
          <w:ilvl w:val="0"/>
          <w:numId w:val="1"/>
        </w:numPr>
        <w:spacing w:after="60" w:line="300"/>
      </w:pPr>
      <w:r>
        <w:rPr>
          <w:rFonts w:ascii="Arial" w:cs="Arial" w:eastAsia="Arial" w:hAnsi="Arial"/>
          <w:b/>
          <w:bCs/>
          <w:color w:val="0B1B2B"/>
          <w:sz w:val="20"/>
          <w:szCs w:val="20"/>
        </w:rPr>
        <w:t xml:space="preserve">Transport in bulk according to IMO instruments: </w:t>
      </w:r>
      <w:r>
        <w:rPr>
          <w:rFonts w:ascii="Arial" w:cs="Arial" w:eastAsia="Arial" w:hAnsi="Arial"/>
          <w:color w:val="0B1B2B"/>
          <w:sz w:val="20"/>
          <w:szCs w:val="20"/>
        </w:rPr>
        <w:t xml:space="preserve">bulk transport is addressed by § 173.242 for domestic shipments. Confirm the IBC Code or IMSBC Code entry before a bulk sea shipment.</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15: Regulatory Information</w:t>
      </w:r>
    </w:p>
    <w:p>
      <w:pPr>
        <w:keepNext/>
        <w:spacing w:after="60" w:before="120" w:line="300"/>
      </w:pPr>
      <w:r>
        <w:rPr>
          <w:rFonts w:ascii="Arial" w:cs="Arial" w:eastAsia="Arial" w:hAnsi="Arial"/>
          <w:b/>
          <w:bCs/>
          <w:color w:val="0B1B2B"/>
          <w:sz w:val="20"/>
          <w:szCs w:val="20"/>
        </w:rPr>
        <w:t xml:space="preserve">15.1 Safety, health and environmental regulations/legislation specific for the substance or mixture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Property</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Details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Regulatory scope</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Baseline US TSCA, EU REACH/CLP, and Canada DSL/WHMIS references for the resolved single-substance record.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US TSCA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Listed on the TSCA Chemical Substance Inventory (Active) (CAS 67-64-1).</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US EPCRA SARA Section 313</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Acetone (CAS 67-64-1) is not listed for Section 313 toxic chemical reporting.</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California Proposition 65</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Acetone is not listed on the California Proposition 65 list.</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EU REACH SVHC</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Acetone is not identified on the current ECHA Candidate List of Substances of Very High Concern (SVHCs).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EU CLP</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Classified for acetone under Regulation (EC) No 1272/2008 (CLP); align with Section 2 classifications Flam. Liq. 2, Eye Irrit. 2, and STOT SE 3.</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Canada DSL</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Listed on the Domestic Substances List (DSL).</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US EPCRA SARA Sections 311/312</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Hazard categories - Fire Hazard, Acute Health Hazard.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US OSHA</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Classification based on GHS Revision 7 / OSHA HazCom 2024 (29 CFR 1910.1200).</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Canada WHMIS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This SDS is intended to support WHMIS 2015 requirements under the Hazardous Products Act and Hazardous Products Regulations.</w:t>
            </w:r>
          </w:p>
        </w:tc>
      </w:tr>
    </w:tbl>
    <w:p>
      <w:pPr>
        <w:keepNext/>
        <w:spacing w:after="60" w:before="120" w:line="300"/>
      </w:pPr>
      <w:r>
        <w:rPr>
          <w:rFonts w:ascii="Arial" w:cs="Arial" w:eastAsia="Arial" w:hAnsi="Arial"/>
          <w:b/>
          <w:bCs/>
          <w:color w:val="0B1B2B"/>
          <w:sz w:val="20"/>
          <w:szCs w:val="20"/>
        </w:rPr>
        <w:t xml:space="preserve">15.2 Chemical safety assessment</w:t>
      </w:r>
    </w:p>
    <w:p>
      <w:pPr>
        <w:pStyle w:val="ListParagraph"/>
        <w:numPr>
          <w:ilvl w:val="0"/>
          <w:numId w:val="1"/>
        </w:numPr>
        <w:spacing w:after="60" w:line="300"/>
      </w:pPr>
      <w:r>
        <w:rPr>
          <w:rFonts w:ascii="Arial" w:cs="Arial" w:eastAsia="Arial" w:hAnsi="Arial"/>
          <w:b/>
          <w:bCs/>
          <w:color w:val="0B1B2B"/>
          <w:sz w:val="20"/>
          <w:szCs w:val="20"/>
        </w:rPr>
        <w:t xml:space="preserve">Chemical safety assessment: </w:t>
      </w:r>
      <w:r>
        <w:rPr>
          <w:rFonts w:ascii="Arial" w:cs="Arial" w:eastAsia="Arial" w:hAnsi="Arial"/>
          <w:color w:val="0B1B2B"/>
          <w:sz w:val="20"/>
          <w:szCs w:val="20"/>
        </w:rPr>
        <w:t xml:space="preserve">A substance-specific chemical safety assessment is not determined automatically by this generator.</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SECTION 16: Other Information</w:t>
      </w:r>
    </w:p>
    <w:p>
      <w:pPr>
        <w:keepNext/>
        <w:spacing w:after="60" w:before="120" w:line="300"/>
      </w:pPr>
      <w:r>
        <w:rPr>
          <w:rFonts w:ascii="Arial" w:cs="Arial" w:eastAsia="Arial" w:hAnsi="Arial"/>
          <w:b/>
          <w:bCs/>
          <w:color w:val="0B1B2B"/>
          <w:sz w:val="20"/>
          <w:szCs w:val="20"/>
        </w:rPr>
        <w:t xml:space="preserve">16.1 Revision information</w:t>
      </w:r>
    </w:p>
    <w:p>
      <w:pPr>
        <w:pStyle w:val="ListParagraph"/>
        <w:numPr>
          <w:ilvl w:val="0"/>
          <w:numId w:val="1"/>
        </w:numPr>
        <w:spacing w:after="60" w:line="300"/>
      </w:pPr>
      <w:r>
        <w:rPr>
          <w:rFonts w:ascii="Arial" w:cs="Arial" w:eastAsia="Arial" w:hAnsi="Arial"/>
          <w:b/>
          <w:bCs/>
          <w:color w:val="0B1B2B"/>
          <w:sz w:val="20"/>
          <w:szCs w:val="20"/>
        </w:rPr>
        <w:t xml:space="preserve">SDS revision date (current document): </w:t>
      </w:r>
      <w:r>
        <w:rPr>
          <w:rFonts w:ascii="Arial" w:cs="Arial" w:eastAsia="Arial" w:hAnsi="Arial"/>
          <w:color w:val="0B1B2B"/>
          <w:sz w:val="20"/>
          <w:szCs w:val="20"/>
        </w:rPr>
        <w:t xml:space="preserve">2026-10-14</w:t>
      </w:r>
    </w:p>
    <w:p>
      <w:pPr>
        <w:pStyle w:val="ListParagraph"/>
        <w:numPr>
          <w:ilvl w:val="0"/>
          <w:numId w:val="1"/>
        </w:numPr>
        <w:spacing w:after="60" w:line="300"/>
      </w:pPr>
      <w:r>
        <w:rPr>
          <w:rFonts w:ascii="Arial" w:cs="Arial" w:eastAsia="Arial" w:hAnsi="Arial"/>
          <w:b/>
          <w:bCs/>
          <w:color w:val="0B1B2B"/>
          <w:sz w:val="20"/>
          <w:szCs w:val="20"/>
        </w:rPr>
        <w:t xml:space="preserve">SDS version number: </w:t>
      </w:r>
      <w:r>
        <w:rPr>
          <w:rFonts w:ascii="Arial" w:cs="Arial" w:eastAsia="Arial" w:hAnsi="Arial"/>
          <w:color w:val="0B1B2B"/>
          <w:sz w:val="20"/>
          <w:szCs w:val="20"/>
        </w:rPr>
        <w:t xml:space="preserve">1.0 draft</w:t>
      </w:r>
    </w:p>
    <w:p>
      <w:pPr>
        <w:spacing w:after="100" w:line="300"/>
      </w:pPr>
      <w:r>
        <w:rPr>
          <w:rFonts w:ascii="Arial" w:cs="Arial" w:eastAsia="Arial" w:hAnsi="Arial"/>
          <w:color w:val="0B1B2B"/>
          <w:sz w:val="20"/>
          <w:szCs w:val="20"/>
        </w:rPr>
        <w:t xml:space="preserve">Classification based on GHS Revision 7 / OSHA HazCom 2024 (29 CFR 1910.1200).</w:t>
      </w:r>
    </w:p>
    <w:p>
      <w:pPr>
        <w:keepNext/>
        <w:spacing w:after="60" w:before="120" w:line="300"/>
      </w:pPr>
      <w:r>
        <w:rPr>
          <w:rFonts w:ascii="Arial" w:cs="Arial" w:eastAsia="Arial" w:hAnsi="Arial"/>
          <w:b/>
          <w:bCs/>
          <w:color w:val="0B1B2B"/>
          <w:sz w:val="20"/>
          <w:szCs w:val="20"/>
        </w:rPr>
        <w:t xml:space="preserve">16.2 Preparer / issuer information</w:t>
      </w:r>
    </w:p>
    <w:p>
      <w:pPr>
        <w:pStyle w:val="ListParagraph"/>
        <w:numPr>
          <w:ilvl w:val="0"/>
          <w:numId w:val="1"/>
        </w:numPr>
        <w:spacing w:after="60" w:line="300"/>
      </w:pPr>
      <w:r>
        <w:rPr>
          <w:rFonts w:ascii="Arial" w:cs="Arial" w:eastAsia="Arial" w:hAnsi="Arial"/>
          <w:b/>
          <w:bCs/>
          <w:color w:val="0B1B2B"/>
          <w:sz w:val="20"/>
          <w:szCs w:val="20"/>
        </w:rPr>
        <w:t xml:space="preserve">Prepared by: </w:t>
      </w:r>
      <w:r>
        <w:rPr>
          <w:rFonts w:ascii="Arial" w:cs="Arial" w:eastAsia="Arial" w:hAnsi="Arial"/>
          <w:color w:val="0B1B2B"/>
          <w:sz w:val="20"/>
          <w:szCs w:val="20"/>
        </w:rPr>
        <w:t xml:space="preserve">the issuing supplier, on adoption; this draft was prepared on demand and must be adopted and re-issued under the issuing supplier's own identity before external use</w:t>
      </w:r>
    </w:p>
    <w:p>
      <w:pPr>
        <w:pStyle w:val="ListParagraph"/>
        <w:numPr>
          <w:ilvl w:val="0"/>
          <w:numId w:val="1"/>
        </w:numPr>
        <w:spacing w:after="60" w:line="300"/>
      </w:pPr>
      <w:r>
        <w:rPr>
          <w:rFonts w:ascii="Arial" w:cs="Arial" w:eastAsia="Arial" w:hAnsi="Arial"/>
          <w:b/>
          <w:bCs/>
          <w:color w:val="0B1B2B"/>
          <w:sz w:val="20"/>
          <w:szCs w:val="20"/>
        </w:rPr>
        <w:t xml:space="preserve">Issuer details to complete before external issue: </w:t>
      </w:r>
      <w:r>
        <w:rPr>
          <w:rFonts w:ascii="Arial" w:cs="Arial" w:eastAsia="Arial" w:hAnsi="Arial"/>
          <w:color w:val="0B1B2B"/>
          <w:sz w:val="20"/>
          <w:szCs w:val="20"/>
        </w:rPr>
        <w:t xml:space="preserve">address, telephone, website.</w:t>
      </w:r>
    </w:p>
    <w:p>
      <w:pPr>
        <w:pStyle w:val="ListParagraph"/>
        <w:numPr>
          <w:ilvl w:val="0"/>
          <w:numId w:val="1"/>
        </w:numPr>
        <w:spacing w:after="60" w:line="300"/>
      </w:pPr>
      <w:r>
        <w:rPr>
          <w:rFonts w:ascii="Arial" w:cs="Arial" w:eastAsia="Arial" w:hAnsi="Arial"/>
          <w:b/>
          <w:bCs/>
          <w:color w:val="0B1B2B"/>
          <w:sz w:val="20"/>
          <w:szCs w:val="20"/>
        </w:rPr>
        <w:t xml:space="preserve">Preparer email: </w:t>
      </w:r>
      <w:r>
        <w:rPr>
          <w:rFonts w:ascii="Arial" w:cs="Arial" w:eastAsia="Arial" w:hAnsi="Arial"/>
          <w:color w:val="0B1B2B"/>
          <w:sz w:val="20"/>
          <w:szCs w:val="20"/>
        </w:rPr>
        <w:t xml:space="preserve">support@custom-sds.com</w:t>
      </w:r>
    </w:p>
    <w:p>
      <w:pPr>
        <w:keepNext/>
        <w:spacing w:after="60" w:before="120" w:line="300"/>
      </w:pPr>
      <w:r>
        <w:rPr>
          <w:rFonts w:ascii="Arial" w:cs="Arial" w:eastAsia="Arial" w:hAnsi="Arial"/>
          <w:b/>
          <w:bCs/>
          <w:color w:val="0B1B2B"/>
          <w:sz w:val="20"/>
          <w:szCs w:val="20"/>
        </w:rPr>
        <w:t xml:space="preserve">16.3 Legend of abbreviations and acronyms used</w:t>
      </w:r>
    </w:p>
    <w:p>
      <w:pPr>
        <w:pStyle w:val="ListParagraph"/>
        <w:numPr>
          <w:ilvl w:val="0"/>
          <w:numId w:val="1"/>
        </w:numPr>
        <w:spacing w:after="60" w:line="300"/>
      </w:pPr>
      <w:r>
        <w:rPr>
          <w:rFonts w:ascii="Arial" w:cs="Arial" w:eastAsia="Arial" w:hAnsi="Arial"/>
          <w:b/>
          <w:bCs/>
          <w:color w:val="0B1B2B"/>
          <w:sz w:val="20"/>
          <w:szCs w:val="20"/>
        </w:rPr>
        <w:t xml:space="preserve">CERCLA: </w:t>
      </w:r>
      <w:r>
        <w:rPr>
          <w:rFonts w:ascii="Arial" w:cs="Arial" w:eastAsia="Arial" w:hAnsi="Arial"/>
          <w:color w:val="0B1B2B"/>
          <w:sz w:val="20"/>
          <w:szCs w:val="20"/>
        </w:rPr>
        <w:t xml:space="preserve">Comprehensive Environmental Response, Compensation, and Liability Act.</w:t>
      </w:r>
    </w:p>
    <w:p>
      <w:pPr>
        <w:pStyle w:val="ListParagraph"/>
        <w:numPr>
          <w:ilvl w:val="0"/>
          <w:numId w:val="1"/>
        </w:numPr>
        <w:spacing w:after="60" w:line="300"/>
      </w:pPr>
      <w:r>
        <w:rPr>
          <w:rFonts w:ascii="Arial" w:cs="Arial" w:eastAsia="Arial" w:hAnsi="Arial"/>
          <w:b/>
          <w:bCs/>
          <w:color w:val="0B1B2B"/>
          <w:sz w:val="20"/>
          <w:szCs w:val="20"/>
        </w:rPr>
        <w:t xml:space="preserve">CLP: </w:t>
      </w:r>
      <w:r>
        <w:rPr>
          <w:rFonts w:ascii="Arial" w:cs="Arial" w:eastAsia="Arial" w:hAnsi="Arial"/>
          <w:color w:val="0B1B2B"/>
          <w:sz w:val="20"/>
          <w:szCs w:val="20"/>
        </w:rPr>
        <w:t xml:space="preserve">Classification, Labelling and Packaging Regulation.</w:t>
      </w:r>
    </w:p>
    <w:p>
      <w:pPr>
        <w:pStyle w:val="ListParagraph"/>
        <w:numPr>
          <w:ilvl w:val="0"/>
          <w:numId w:val="1"/>
        </w:numPr>
        <w:spacing w:after="60" w:line="300"/>
      </w:pPr>
      <w:r>
        <w:rPr>
          <w:rFonts w:ascii="Arial" w:cs="Arial" w:eastAsia="Arial" w:hAnsi="Arial"/>
          <w:b/>
          <w:bCs/>
          <w:color w:val="0B1B2B"/>
          <w:sz w:val="20"/>
          <w:szCs w:val="20"/>
        </w:rPr>
        <w:t xml:space="preserve">GHS: </w:t>
      </w:r>
      <w:r>
        <w:rPr>
          <w:rFonts w:ascii="Arial" w:cs="Arial" w:eastAsia="Arial" w:hAnsi="Arial"/>
          <w:color w:val="0B1B2B"/>
          <w:sz w:val="20"/>
          <w:szCs w:val="20"/>
        </w:rPr>
        <w:t xml:space="preserve">Globally Harmonized System of Classification and Labelling of Chemicals.</w:t>
      </w:r>
    </w:p>
    <w:p>
      <w:pPr>
        <w:pStyle w:val="ListParagraph"/>
        <w:numPr>
          <w:ilvl w:val="0"/>
          <w:numId w:val="1"/>
        </w:numPr>
        <w:spacing w:after="60" w:line="300"/>
      </w:pPr>
      <w:r>
        <w:rPr>
          <w:rFonts w:ascii="Arial" w:cs="Arial" w:eastAsia="Arial" w:hAnsi="Arial"/>
          <w:b/>
          <w:bCs/>
          <w:color w:val="0B1B2B"/>
          <w:sz w:val="20"/>
          <w:szCs w:val="20"/>
        </w:rPr>
        <w:t xml:space="preserve">IATA: </w:t>
      </w:r>
      <w:r>
        <w:rPr>
          <w:rFonts w:ascii="Arial" w:cs="Arial" w:eastAsia="Arial" w:hAnsi="Arial"/>
          <w:color w:val="0B1B2B"/>
          <w:sz w:val="20"/>
          <w:szCs w:val="20"/>
        </w:rPr>
        <w:t xml:space="preserve">International Air Transport Association.</w:t>
      </w:r>
    </w:p>
    <w:p>
      <w:pPr>
        <w:pStyle w:val="ListParagraph"/>
        <w:numPr>
          <w:ilvl w:val="0"/>
          <w:numId w:val="1"/>
        </w:numPr>
        <w:spacing w:after="60" w:line="300"/>
      </w:pPr>
      <w:r>
        <w:rPr>
          <w:rFonts w:ascii="Arial" w:cs="Arial" w:eastAsia="Arial" w:hAnsi="Arial"/>
          <w:b/>
          <w:bCs/>
          <w:color w:val="0B1B2B"/>
          <w:sz w:val="20"/>
          <w:szCs w:val="20"/>
        </w:rPr>
        <w:t xml:space="preserve">IMDG: </w:t>
      </w:r>
      <w:r>
        <w:rPr>
          <w:rFonts w:ascii="Arial" w:cs="Arial" w:eastAsia="Arial" w:hAnsi="Arial"/>
          <w:color w:val="0B1B2B"/>
          <w:sz w:val="20"/>
          <w:szCs w:val="20"/>
        </w:rPr>
        <w:t xml:space="preserve">International Maritime Dangerous Goods.</w:t>
      </w:r>
    </w:p>
    <w:p>
      <w:pPr>
        <w:pStyle w:val="ListParagraph"/>
        <w:numPr>
          <w:ilvl w:val="0"/>
          <w:numId w:val="1"/>
        </w:numPr>
        <w:spacing w:after="60" w:line="300"/>
      </w:pPr>
      <w:r>
        <w:rPr>
          <w:rFonts w:ascii="Arial" w:cs="Arial" w:eastAsia="Arial" w:hAnsi="Arial"/>
          <w:b/>
          <w:bCs/>
          <w:color w:val="0B1B2B"/>
          <w:sz w:val="20"/>
          <w:szCs w:val="20"/>
        </w:rPr>
        <w:t xml:space="preserve">LC50 / LD50: </w:t>
      </w:r>
      <w:r>
        <w:rPr>
          <w:rFonts w:ascii="Arial" w:cs="Arial" w:eastAsia="Arial" w:hAnsi="Arial"/>
          <w:color w:val="0B1B2B"/>
          <w:sz w:val="20"/>
          <w:szCs w:val="20"/>
        </w:rPr>
        <w:t xml:space="preserve">Median lethal concentration / median lethal dose.</w:t>
      </w:r>
    </w:p>
    <w:p>
      <w:pPr>
        <w:pStyle w:val="ListParagraph"/>
        <w:numPr>
          <w:ilvl w:val="0"/>
          <w:numId w:val="1"/>
        </w:numPr>
        <w:spacing w:after="60" w:line="300"/>
      </w:pPr>
      <w:r>
        <w:rPr>
          <w:rFonts w:ascii="Arial" w:cs="Arial" w:eastAsia="Arial" w:hAnsi="Arial"/>
          <w:b/>
          <w:bCs/>
          <w:color w:val="0B1B2B"/>
          <w:sz w:val="20"/>
          <w:szCs w:val="20"/>
        </w:rPr>
        <w:t xml:space="preserve">Log Kow: </w:t>
      </w:r>
      <w:r>
        <w:rPr>
          <w:rFonts w:ascii="Arial" w:cs="Arial" w:eastAsia="Arial" w:hAnsi="Arial"/>
          <w:color w:val="0B1B2B"/>
          <w:sz w:val="20"/>
          <w:szCs w:val="20"/>
        </w:rPr>
        <w:t xml:space="preserve">Octanol/water partition coefficient.</w:t>
      </w:r>
    </w:p>
    <w:p>
      <w:pPr>
        <w:pStyle w:val="ListParagraph"/>
        <w:numPr>
          <w:ilvl w:val="0"/>
          <w:numId w:val="1"/>
        </w:numPr>
        <w:spacing w:after="60" w:line="300"/>
      </w:pPr>
      <w:r>
        <w:rPr>
          <w:rFonts w:ascii="Arial" w:cs="Arial" w:eastAsia="Arial" w:hAnsi="Arial"/>
          <w:b/>
          <w:bCs/>
          <w:color w:val="0B1B2B"/>
          <w:sz w:val="20"/>
          <w:szCs w:val="20"/>
        </w:rPr>
        <w:t xml:space="preserve">OEL: </w:t>
      </w:r>
      <w:r>
        <w:rPr>
          <w:rFonts w:ascii="Arial" w:cs="Arial" w:eastAsia="Arial" w:hAnsi="Arial"/>
          <w:color w:val="0B1B2B"/>
          <w:sz w:val="20"/>
          <w:szCs w:val="20"/>
        </w:rPr>
        <w:t xml:space="preserve">Occupational exposure limit.</w:t>
      </w:r>
    </w:p>
    <w:p>
      <w:pPr>
        <w:pStyle w:val="ListParagraph"/>
        <w:numPr>
          <w:ilvl w:val="0"/>
          <w:numId w:val="1"/>
        </w:numPr>
        <w:spacing w:after="60" w:line="300"/>
      </w:pPr>
      <w:r>
        <w:rPr>
          <w:rFonts w:ascii="Arial" w:cs="Arial" w:eastAsia="Arial" w:hAnsi="Arial"/>
          <w:b/>
          <w:bCs/>
          <w:color w:val="0B1B2B"/>
          <w:sz w:val="20"/>
          <w:szCs w:val="20"/>
        </w:rPr>
        <w:t xml:space="preserve">PBT / vPvB: </w:t>
      </w:r>
      <w:r>
        <w:rPr>
          <w:rFonts w:ascii="Arial" w:cs="Arial" w:eastAsia="Arial" w:hAnsi="Arial"/>
          <w:color w:val="0B1B2B"/>
          <w:sz w:val="20"/>
          <w:szCs w:val="20"/>
        </w:rPr>
        <w:t xml:space="preserve">Persistent, bioaccumulative and toxic / very persistent and very bioaccumulative.</w:t>
      </w:r>
    </w:p>
    <w:p>
      <w:pPr>
        <w:pStyle w:val="ListParagraph"/>
        <w:numPr>
          <w:ilvl w:val="0"/>
          <w:numId w:val="1"/>
        </w:numPr>
        <w:spacing w:after="60" w:line="300"/>
      </w:pPr>
      <w:r>
        <w:rPr>
          <w:rFonts w:ascii="Arial" w:cs="Arial" w:eastAsia="Arial" w:hAnsi="Arial"/>
          <w:b/>
          <w:bCs/>
          <w:color w:val="0B1B2B"/>
          <w:sz w:val="20"/>
          <w:szCs w:val="20"/>
        </w:rPr>
        <w:t xml:space="preserve">RCRA: </w:t>
      </w:r>
      <w:r>
        <w:rPr>
          <w:rFonts w:ascii="Arial" w:cs="Arial" w:eastAsia="Arial" w:hAnsi="Arial"/>
          <w:color w:val="0B1B2B"/>
          <w:sz w:val="20"/>
          <w:szCs w:val="20"/>
        </w:rPr>
        <w:t xml:space="preserve">Resource Conservation and Recovery Act.</w:t>
      </w:r>
    </w:p>
    <w:p>
      <w:pPr>
        <w:pStyle w:val="ListParagraph"/>
        <w:numPr>
          <w:ilvl w:val="0"/>
          <w:numId w:val="1"/>
        </w:numPr>
        <w:spacing w:after="60" w:line="300"/>
      </w:pPr>
      <w:r>
        <w:rPr>
          <w:rFonts w:ascii="Arial" w:cs="Arial" w:eastAsia="Arial" w:hAnsi="Arial"/>
          <w:b/>
          <w:bCs/>
          <w:color w:val="0B1B2B"/>
          <w:sz w:val="20"/>
          <w:szCs w:val="20"/>
        </w:rPr>
        <w:t xml:space="preserve">REACH: </w:t>
      </w:r>
      <w:r>
        <w:rPr>
          <w:rFonts w:ascii="Arial" w:cs="Arial" w:eastAsia="Arial" w:hAnsi="Arial"/>
          <w:color w:val="0B1B2B"/>
          <w:sz w:val="20"/>
          <w:szCs w:val="20"/>
        </w:rPr>
        <w:t xml:space="preserve">Registration, Evaluation, Authorisation and Restriction of Chemicals.</w:t>
      </w:r>
    </w:p>
    <w:p>
      <w:pPr>
        <w:pStyle w:val="ListParagraph"/>
        <w:numPr>
          <w:ilvl w:val="0"/>
          <w:numId w:val="1"/>
        </w:numPr>
        <w:spacing w:after="60" w:line="300"/>
      </w:pPr>
      <w:r>
        <w:rPr>
          <w:rFonts w:ascii="Arial" w:cs="Arial" w:eastAsia="Arial" w:hAnsi="Arial"/>
          <w:b/>
          <w:bCs/>
          <w:color w:val="0B1B2B"/>
          <w:sz w:val="20"/>
          <w:szCs w:val="20"/>
        </w:rPr>
        <w:t xml:space="preserve">SARA: </w:t>
      </w:r>
      <w:r>
        <w:rPr>
          <w:rFonts w:ascii="Arial" w:cs="Arial" w:eastAsia="Arial" w:hAnsi="Arial"/>
          <w:color w:val="0B1B2B"/>
          <w:sz w:val="20"/>
          <w:szCs w:val="20"/>
        </w:rPr>
        <w:t xml:space="preserve">Superfund Amendments and Reauthorization Act / EPCRA reporting framework.</w:t>
      </w:r>
    </w:p>
    <w:p>
      <w:pPr>
        <w:pStyle w:val="ListParagraph"/>
        <w:numPr>
          <w:ilvl w:val="0"/>
          <w:numId w:val="1"/>
        </w:numPr>
        <w:spacing w:after="60" w:line="300"/>
      </w:pPr>
      <w:r>
        <w:rPr>
          <w:rFonts w:ascii="Arial" w:cs="Arial" w:eastAsia="Arial" w:hAnsi="Arial"/>
          <w:b/>
          <w:bCs/>
          <w:color w:val="0B1B2B"/>
          <w:sz w:val="20"/>
          <w:szCs w:val="20"/>
        </w:rPr>
        <w:t xml:space="preserve">SDS: </w:t>
      </w:r>
      <w:r>
        <w:rPr>
          <w:rFonts w:ascii="Arial" w:cs="Arial" w:eastAsia="Arial" w:hAnsi="Arial"/>
          <w:color w:val="0B1B2B"/>
          <w:sz w:val="20"/>
          <w:szCs w:val="20"/>
        </w:rPr>
        <w:t xml:space="preserve">Safety Data Sheet.</w:t>
      </w:r>
    </w:p>
    <w:p>
      <w:pPr>
        <w:pStyle w:val="ListParagraph"/>
        <w:numPr>
          <w:ilvl w:val="0"/>
          <w:numId w:val="1"/>
        </w:numPr>
        <w:spacing w:after="60" w:line="300"/>
      </w:pPr>
      <w:r>
        <w:rPr>
          <w:rFonts w:ascii="Arial" w:cs="Arial" w:eastAsia="Arial" w:hAnsi="Arial"/>
          <w:b/>
          <w:bCs/>
          <w:color w:val="0B1B2B"/>
          <w:sz w:val="20"/>
          <w:szCs w:val="20"/>
        </w:rPr>
        <w:t xml:space="preserve">STEL / TWA: </w:t>
      </w:r>
      <w:r>
        <w:rPr>
          <w:rFonts w:ascii="Arial" w:cs="Arial" w:eastAsia="Arial" w:hAnsi="Arial"/>
          <w:color w:val="0B1B2B"/>
          <w:sz w:val="20"/>
          <w:szCs w:val="20"/>
        </w:rPr>
        <w:t xml:space="preserve">Short-term exposure limit / time-weighted average.</w:t>
      </w:r>
    </w:p>
    <w:p>
      <w:pPr>
        <w:pStyle w:val="ListParagraph"/>
        <w:numPr>
          <w:ilvl w:val="0"/>
          <w:numId w:val="1"/>
        </w:numPr>
        <w:spacing w:after="60" w:line="300"/>
      </w:pPr>
      <w:r>
        <w:rPr>
          <w:rFonts w:ascii="Arial" w:cs="Arial" w:eastAsia="Arial" w:hAnsi="Arial"/>
          <w:b/>
          <w:bCs/>
          <w:color w:val="0B1B2B"/>
          <w:sz w:val="20"/>
          <w:szCs w:val="20"/>
        </w:rPr>
        <w:t xml:space="preserve">TSCA: </w:t>
      </w:r>
      <w:r>
        <w:rPr>
          <w:rFonts w:ascii="Arial" w:cs="Arial" w:eastAsia="Arial" w:hAnsi="Arial"/>
          <w:color w:val="0B1B2B"/>
          <w:sz w:val="20"/>
          <w:szCs w:val="20"/>
        </w:rPr>
        <w:t xml:space="preserve">Toxic Substances Control Act.</w:t>
      </w:r>
    </w:p>
    <w:p>
      <w:pPr>
        <w:pStyle w:val="ListParagraph"/>
        <w:numPr>
          <w:ilvl w:val="0"/>
          <w:numId w:val="1"/>
        </w:numPr>
        <w:spacing w:after="60" w:line="300"/>
      </w:pPr>
      <w:r>
        <w:rPr>
          <w:rFonts w:ascii="Arial" w:cs="Arial" w:eastAsia="Arial" w:hAnsi="Arial"/>
          <w:b/>
          <w:bCs/>
          <w:color w:val="0B1B2B"/>
          <w:sz w:val="20"/>
          <w:szCs w:val="20"/>
        </w:rPr>
        <w:t xml:space="preserve">UN: </w:t>
      </w:r>
      <w:r>
        <w:rPr>
          <w:rFonts w:ascii="Arial" w:cs="Arial" w:eastAsia="Arial" w:hAnsi="Arial"/>
          <w:color w:val="0B1B2B"/>
          <w:sz w:val="20"/>
          <w:szCs w:val="20"/>
        </w:rPr>
        <w:t xml:space="preserve">United Nations transport identifier.</w:t>
      </w:r>
    </w:p>
    <w:p>
      <w:pPr>
        <w:keepNext/>
        <w:spacing w:after="60" w:before="120" w:line="300"/>
      </w:pPr>
      <w:r>
        <w:rPr>
          <w:rFonts w:ascii="Arial" w:cs="Arial" w:eastAsia="Arial" w:hAnsi="Arial"/>
          <w:b/>
          <w:bCs/>
          <w:color w:val="0B1B2B"/>
          <w:sz w:val="20"/>
          <w:szCs w:val="20"/>
        </w:rPr>
        <w:t xml:space="preserve">16.4 Key references to literature and data sources</w:t>
      </w:r>
    </w:p>
    <w:p>
      <w:pPr>
        <w:pStyle w:val="ListParagraph"/>
        <w:numPr>
          <w:ilvl w:val="0"/>
          <w:numId w:val="1"/>
        </w:numPr>
        <w:spacing w:after="60" w:line="300"/>
      </w:pPr>
      <w:r>
        <w:rPr>
          <w:rFonts w:ascii="Arial" w:cs="Arial" w:eastAsia="Arial" w:hAnsi="Arial"/>
          <w:b/>
          <w:bCs/>
          <w:color w:val="0B1B2B"/>
          <w:sz w:val="20"/>
          <w:szCs w:val="20"/>
        </w:rPr>
        <w:t xml:space="preserve">Primary source: </w:t>
      </w:r>
      <w:r>
        <w:rPr>
          <w:rFonts w:ascii="Arial" w:cs="Arial" w:eastAsia="Arial" w:hAnsi="Arial"/>
          <w:color w:val="0B1B2B"/>
          <w:sz w:val="20"/>
          <w:szCs w:val="20"/>
        </w:rPr>
        <w:t xml:space="preserve">PubChem compound record CID 180.</w:t>
      </w:r>
    </w:p>
    <w:p>
      <w:pPr>
        <w:pStyle w:val="ListParagraph"/>
        <w:numPr>
          <w:ilvl w:val="0"/>
          <w:numId w:val="1"/>
        </w:numPr>
        <w:spacing w:after="60" w:line="300"/>
      </w:pPr>
      <w:r>
        <w:rPr>
          <w:rFonts w:ascii="Arial" w:cs="Arial" w:eastAsia="Arial" w:hAnsi="Arial"/>
          <w:b/>
          <w:bCs/>
          <w:color w:val="0B1B2B"/>
          <w:sz w:val="20"/>
          <w:szCs w:val="20"/>
        </w:rPr>
        <w:t xml:space="preserve">Disclaimer: </w:t>
      </w:r>
      <w:r>
        <w:rPr>
          <w:rFonts w:ascii="Arial" w:cs="Arial" w:eastAsia="Arial" w:hAnsi="Arial"/>
          <w:color w:val="0B1B2B"/>
          <w:sz w:val="20"/>
          <w:szCs w:val="20"/>
        </w:rPr>
        <w:t xml:space="preserve">Information is provided in good faith and is believed to be accurate as of the revision date.</w:t>
      </w:r>
    </w:p>
    <w:p>
      <w:pPr>
        <w:pBdr>
          <w:bottom w:val="single" w:color="1B3A5C" w:sz="4"/>
        </w:pBdr>
        <w:spacing w:after="90" w:before="140"/>
      </w:pPr>
      <w:r>
        <w:t xml:space="preserve"/>
      </w:r>
    </w:p>
    <w:p>
      <w:pPr>
        <w:pStyle w:val="Heading2"/>
        <w:keepNext/>
        <w:keepLines/>
        <w:shd w:fill="E4E7EB" w:color="auto" w:val="clear"/>
        <w:spacing w:after="120" w:before="0"/>
      </w:pPr>
      <w:r>
        <w:rPr>
          <w:rFonts w:ascii="Arial" w:cs="Arial" w:eastAsia="Arial" w:hAnsi="Arial"/>
          <w:b/>
          <w:bCs/>
          <w:color w:val="1B3A5C"/>
          <w:sz w:val="22"/>
          <w:szCs w:val="22"/>
        </w:rPr>
        <w:t xml:space="preserve">EVIDENCE APPENDIX: NAMED SOURCES FOR THIS DRAFT</w:t>
      </w:r>
    </w:p>
    <w:p>
      <w:pPr>
        <w:spacing w:after="140" w:line="300"/>
      </w:pPr>
      <w:r>
        <w:rPr>
          <w:rFonts w:ascii="Arial" w:cs="Arial" w:eastAsia="Arial" w:hAnsi="Arial"/>
          <w:b w:val="false"/>
          <w:bCs w:val="false"/>
          <w:color w:val="0B1B2B"/>
          <w:sz w:val="18"/>
          <w:szCs w:val="18"/>
        </w:rPr>
        <w:t xml:space="preserve">The values in this draft were assembled from the public records named below. A language model was used to format and editorially review the document, not to originate safety values.</w:t>
      </w:r>
    </w:p>
    <w:p>
      <w:pPr>
        <w:spacing w:after="140" w:line="300"/>
      </w:pPr>
      <w:r>
        <w:rPr>
          <w:rFonts w:ascii="Arial" w:cs="Arial" w:eastAsia="Arial" w:hAnsi="Arial"/>
          <w:b/>
          <w:bCs/>
          <w:color w:val="0B1B2B"/>
          <w:sz w:val="18"/>
          <w:szCs w:val="18"/>
        </w:rPr>
        <w:t xml:space="preserve">Document provenance</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Item</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Details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Requested identifier</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67-64-1</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Primary record</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compound record CID 180</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Record address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https://pubchem.ncbi.nlm.nih.gov/compound/180</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CAS number</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67-64-1</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Data sources used</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data retrieved</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2026-10-14</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Verification status</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Inference candidate. Each value is traceable to a named source above but has not been accepted by a named reviewer.</w:t>
            </w:r>
          </w:p>
        </w:tc>
      </w:tr>
    </w:tbl>
    <w:p>
      <w:pPr>
        <w:spacing w:after="140" w:before="260" w:line="300"/>
      </w:pPr>
      <w:r>
        <w:rPr>
          <w:rFonts w:ascii="Arial" w:cs="Arial" w:eastAsia="Arial" w:hAnsi="Arial"/>
          <w:b/>
          <w:bCs/>
          <w:color w:val="0B1B2B"/>
          <w:sz w:val="18"/>
          <w:szCs w:val="18"/>
        </w:rPr>
        <w:t xml:space="preserve">Named source records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84"/>
        <w:gridCol w:w="6840"/>
      </w:tblGrid>
      <w:tr>
        <w:tc>
          <w:tcPr>
            <w:tcW w:type="dxa" w:w="3384"/>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Reference</w:t>
            </w:r>
          </w:p>
        </w:tc>
        <w:tc>
          <w:tcPr>
            <w:tcW w:type="dxa" w:w="6840"/>
            <w:tcBorders>
              <w:top w:val="single" w:color="CBD2DA" w:sz="4"/>
              <w:left w:val="single" w:color="CBD2DA" w:sz="4"/>
              <w:bottom w:val="single" w:color="1B3A5C" w:sz="6"/>
              <w:right w:val="single" w:color="CBD2DA" w:sz="4"/>
            </w:tcBorders>
            <w:shd w:fill="E4E7EB" w:color="auto" w:val="clear"/>
            <w:tcMar>
              <w:top w:type="dxa" w:w="90"/>
              <w:left w:type="dxa" w:w="100"/>
              <w:bottom w:type="dxa" w:w="90"/>
              <w:right w:type="dxa" w:w="100"/>
            </w:tcMar>
          </w:tcPr>
          <w:p>
            <w:r>
              <w:rPr>
                <w:rFonts w:ascii="Arial" w:cs="Arial" w:eastAsia="Arial" w:hAnsi="Arial"/>
                <w:b/>
                <w:bCs/>
                <w:color w:val="1B3A5C"/>
                <w:sz w:val="16"/>
                <w:szCs w:val="16"/>
              </w:rPr>
              <w:t xml:space="preserve">Record</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1</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compound record CID 180</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2</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Safety and Hazards &gt; GHS Classification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3</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Safety and Hazards</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4</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Names and Identifiers &gt; Other Identifiers &gt; European Community (EC) Number</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5</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Transport Information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6</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Regulatory Information</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7</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PubChem Toxicity</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8</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ECHA C&amp;L inventory record, CAS 67-64-1</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9</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Harmonized CLP classification set, revision 2026-05-25</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10</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ECHA harmonized CLP row</w:t>
            </w:r>
          </w:p>
        </w:tc>
      </w:tr>
      <w:tr>
        <w:tc>
          <w:tcPr>
            <w:tcW w:type="dxa" w:w="3384"/>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bCs/>
                <w:color w:val="0B1B2B"/>
                <w:sz w:val="16"/>
                <w:szCs w:val="16"/>
              </w:rPr>
              <w:t xml:space="preserve">Source 11</w:t>
            </w:r>
          </w:p>
        </w:tc>
        <w:tc>
          <w:tcPr>
            <w:tcW w:type="dxa" w:w="6840"/>
            <w:tcBorders>
              <w:top w:val="single" w:color="D7DCE2" w:sz="4"/>
              <w:left w:val="single" w:color="D7DCE2" w:sz="4"/>
              <w:bottom w:val="single" w:color="D7DCE2" w:sz="4"/>
              <w:right w:val="single" w:color="D7DCE2" w:sz="4"/>
            </w:tcBorders>
            <w:tcMar>
              <w:top w:type="dxa" w:w="85"/>
              <w:left w:type="dxa" w:w="100"/>
              <w:bottom w:type="dxa" w:w="85"/>
              <w:right w:type="dxa" w:w="100"/>
            </w:tcMar>
          </w:tcPr>
          <w:p>
            <w:pPr>
              <w:spacing w:after="0"/>
            </w:pPr>
            <w:r>
              <w:rPr>
                <w:rFonts w:ascii="Arial" w:cs="Arial" w:eastAsia="Arial" w:hAnsi="Arial"/>
                <w:b w:val="false"/>
                <w:bCs w:val="false"/>
                <w:color w:val="0B1B2B"/>
                <w:sz w:val="16"/>
                <w:szCs w:val="16"/>
              </w:rPr>
              <w:t xml:space="preserve">Curated fallback aligned to PubChem GHS / ECHA CLP classification for acetone</w:t>
            </w:r>
          </w:p>
        </w:tc>
      </w:tr>
    </w:tbl>
    <w:p>
      <w:pPr>
        <w:spacing w:after="120" w:before="260" w:line="300"/>
      </w:pPr>
      <w:r>
        <w:rPr>
          <w:rFonts w:ascii="Arial" w:cs="Arial" w:eastAsia="Arial" w:hAnsi="Arial"/>
          <w:b/>
          <w:bCs/>
          <w:color w:val="0B1B2B"/>
          <w:sz w:val="18"/>
          <w:szCs w:val="18"/>
        </w:rPr>
        <w:t xml:space="preserve">Check each value against its cited record before official use. This draft is not a certified, approved or audited document, and no part of it should be treated as one.</w:t>
      </w:r>
    </w:p>
    <w:sectPr>
      <w:headerReference w:type="default" r:id="rId7"/>
      <w:footerReference w:type="default" r:id="rId8"/>
      <w:pgSz w:w="11906" w:h="16838" w:orient="portrait"/>
      <w:pgMar w:top="1152" w:right="1008" w:bottom="1152" w:left="1008" w:header="648" w:footer="50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B3A5C" w:sz="6"/>
      </w:pBdr>
      <w:spacing w:before="40"/>
      <w:jc w:val="center"/>
    </w:pPr>
    <w:r>
      <w:rPr>
        <w:rFonts w:ascii="Arial" w:cs="Arial" w:eastAsia="Arial" w:hAnsi="Arial"/>
        <w:color w:val="33414F"/>
        <w:sz w:val="16"/>
        <w:szCs w:val="16"/>
      </w:rPr>
      <w:t xml:space="preserve">Draft SDS prepared for Your Company Name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40"/>
      <w:jc w:val="center"/>
    </w:pPr>
    <w:r>
      <w:rPr>
        <w:rFonts w:ascii="Arial" w:cs="Arial" w:eastAsia="Arial" w:hAnsi="Arial"/>
        <w:b/>
        <w:bCs/>
        <w:color w:val="0B1B2B"/>
        <w:sz w:val="22"/>
        <w:szCs w:val="22"/>
      </w:rPr>
      <w:t xml:space="preserve">Your Company Name</w:t>
    </w:r>
  </w:p>
  <w:p>
    <w:pPr>
      <w:spacing w:after="20"/>
      <w:jc w:val="center"/>
    </w:pPr>
    <w:r>
      <w:rPr>
        <w:rFonts w:ascii="Arial" w:cs="Arial" w:eastAsia="Arial" w:hAnsi="Arial"/>
        <w:b/>
        <w:bCs/>
        <w:color w:val="0B1B2B"/>
        <w:sz w:val="26"/>
        <w:szCs w:val="26"/>
      </w:rPr>
      <w:t xml:space="preserve">SAFETY DATA SHEET</w:t>
    </w:r>
  </w:p>
  <w:p>
    <w:pPr>
      <w:spacing w:after="20"/>
      <w:jc w:val="center"/>
    </w:pPr>
    <w:r>
      <w:rPr>
        <w:rFonts w:ascii="Arial" w:cs="Arial" w:eastAsia="Arial" w:hAnsi="Arial"/>
        <w:color w:val="33414F"/>
        <w:sz w:val="16"/>
        <w:szCs w:val="16"/>
      </w:rPr>
      <w:t xml:space="preserve">Your Company Name | Intake public-sample-document | Generated 2026-10-14</w:t>
    </w:r>
  </w:p>
  <w:p>
    <w:pPr>
      <w:pBdr>
        <w:bottom w:val="single" w:color="D7DCE2" w:sz="6"/>
      </w:pBdr>
      <w:spacing w:after="80"/>
      <w:jc w:val="center"/>
    </w:pPr>
    <w:r>
      <w:rPr>
        <w:rFonts w:ascii="Arial" w:cs="Arial" w:eastAsia="Arial" w:hAnsi="Arial"/>
        <w:b/>
        <w:bCs/>
        <w:i/>
        <w:iCs/>
        <w:color w:val="8A5A00"/>
        <w:sz w:val="16"/>
        <w:szCs w:val="16"/>
      </w:rPr>
      <w:t xml:space="preserve">DRAFT — Pending review</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B1B2B"/>
        <w:sz w:val="20"/>
        <w:szCs w:val="20"/>
      </w:rPr>
    </w:rPrDefault>
    <w:pPrDefault>
      <w:pPr>
        <w:spacing w:after="100"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6c515f534f2b3359ab7d3bcb0c65a9298d61b63.png"/><Relationship Id="rId10" Type="http://schemas.openxmlformats.org/officeDocument/2006/relationships/image" Target="media/88850d7d4c13eccbea80293a09c5858cd368577a.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SDS - Acetone</dc:title>
  <dc:creator>Your Company Name</dc:creator>
  <dc:description>Editable SDS draft for Acetone</dc:description>
  <cp:lastModifiedBy>Un-named</cp:lastModifiedBy>
  <cp:revision>1</cp:revision>
  <dcterms:created xsi:type="dcterms:W3CDTF">2026-10-14T02:31:19.147Z</dcterms:created>
  <dcterms:modified xsi:type="dcterms:W3CDTF">2026-10-14T02:31:19.147Z</dcterms:modified>
</cp:coreProperties>
</file>

<file path=docProps/custom.xml><?xml version="1.0" encoding="utf-8"?>
<Properties xmlns="http://schemas.openxmlformats.org/officeDocument/2006/custom-properties" xmlns:vt="http://schemas.openxmlformats.org/officeDocument/2006/docPropsVTypes"/>
</file>